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华文中宋" w:hAnsi="华文中宋" w:eastAsia="华文中宋" w:cs="宋体"/>
          <w:b/>
          <w:kern w:val="0"/>
          <w:sz w:val="32"/>
          <w:szCs w:val="32"/>
        </w:rPr>
      </w:pPr>
      <w:r>
        <w:rPr>
          <w:rFonts w:hint="eastAsia" w:ascii="华文中宋" w:hAnsi="华文中宋" w:eastAsia="华文中宋" w:cs="宋体"/>
          <w:b/>
          <w:kern w:val="0"/>
          <w:sz w:val="32"/>
          <w:szCs w:val="32"/>
          <w:lang w:val="zh-CN"/>
        </w:rPr>
        <w:t>第二届全国数量经济技术经济学博士后论坛</w:t>
      </w:r>
      <w:r>
        <w:rPr>
          <w:rFonts w:hint="eastAsia" w:ascii="华文中宋" w:hAnsi="华文中宋" w:eastAsia="华文中宋" w:cs="宋体"/>
          <w:b/>
          <w:kern w:val="0"/>
          <w:sz w:val="32"/>
          <w:szCs w:val="32"/>
        </w:rPr>
        <w:t>成功举办</w:t>
      </w:r>
    </w:p>
    <w:p>
      <w:pPr>
        <w:adjustRightInd w:val="0"/>
        <w:snapToGrid w:val="0"/>
        <w:spacing w:line="360" w:lineRule="auto"/>
        <w:rPr>
          <w:rFonts w:ascii="仿宋" w:hAnsi="仿宋" w:eastAsia="仿宋" w:cs="宋体"/>
          <w:b/>
          <w:kern w:val="0"/>
          <w:sz w:val="30"/>
          <w:szCs w:val="30"/>
        </w:rPr>
      </w:pPr>
    </w:p>
    <w:p>
      <w:pPr>
        <w:adjustRightInd w:val="0"/>
        <w:snapToGrid w:val="0"/>
        <w:spacing w:line="360" w:lineRule="auto"/>
        <w:ind w:firstLine="600" w:firstLineChars="200"/>
        <w:jc w:val="left"/>
        <w:rPr>
          <w:rFonts w:ascii="仿宋" w:hAnsi="仿宋" w:eastAsia="仿宋" w:cs="宋体"/>
          <w:bCs/>
          <w:kern w:val="0"/>
          <w:sz w:val="30"/>
          <w:szCs w:val="30"/>
        </w:rPr>
      </w:pPr>
      <w:r>
        <w:rPr>
          <w:rFonts w:hint="eastAsia" w:ascii="仿宋" w:hAnsi="仿宋" w:eastAsia="仿宋" w:cs="宋体"/>
          <w:bCs/>
          <w:kern w:val="0"/>
          <w:sz w:val="30"/>
          <w:szCs w:val="30"/>
        </w:rPr>
        <w:t>2021年12月11日，第二届全国数量经济技术经济学博士后论坛顺利召开。论坛围绕“新发展格局与数量经济技术经济”主题，以线上线下相结合的方式举行。论坛由中国社会科学院、全国博士后管理委员会、中国博士后科学基金会主办，中国社会科学院博士后管理委员会、中国社会科学院数量经济与技术经济研究所、南开大学经济与社会发展研究院、南开大学经济学院承办，中国社会科学院综合集成与预测研究中心、南开大学中国区域经济应用实验室（China-REAL）协办,《数量经济技术经济研究》《南开经济研究》《技术经济》为支持期刊。</w:t>
      </w:r>
    </w:p>
    <w:p>
      <w:pPr>
        <w:adjustRightInd w:val="0"/>
        <w:snapToGrid w:val="0"/>
        <w:spacing w:line="360" w:lineRule="auto"/>
        <w:ind w:firstLine="600" w:firstLineChars="200"/>
        <w:jc w:val="left"/>
        <w:rPr>
          <w:rFonts w:hint="eastAsia" w:ascii="仿宋" w:hAnsi="仿宋" w:eastAsia="仿宋" w:cs="宋体"/>
          <w:sz w:val="30"/>
          <w:szCs w:val="30"/>
        </w:rPr>
      </w:pPr>
      <w:r>
        <w:rPr>
          <w:rFonts w:hint="eastAsia" w:ascii="仿宋" w:hAnsi="仿宋" w:eastAsia="仿宋" w:cs="宋体"/>
          <w:sz w:val="30"/>
          <w:szCs w:val="30"/>
        </w:rPr>
        <w:t>在论坛开幕式上，南开大学党委副书记梁琪、人社部留学人员和专家服务中心副主任王霄、中国社会科学院人事教育局局长赵芮、中国社会科学院数量经济与技术经济研究所所长李雪松分别致辞，开幕式由中国社会科学院数量经济与技术经济研究所党委书记李海舰主持。</w:t>
      </w:r>
    </w:p>
    <w:p>
      <w:pPr>
        <w:adjustRightInd w:val="0"/>
        <w:snapToGrid w:val="0"/>
        <w:spacing w:line="360" w:lineRule="auto"/>
        <w:rPr>
          <w:rFonts w:ascii="仿宋" w:hAnsi="仿宋" w:eastAsia="仿宋"/>
          <w:sz w:val="30"/>
          <w:szCs w:val="30"/>
        </w:rPr>
      </w:pPr>
      <w:r>
        <w:rPr>
          <w:rFonts w:ascii="仿宋" w:hAnsi="仿宋" w:eastAsia="仿宋"/>
          <w:sz w:val="30"/>
          <w:szCs w:val="30"/>
        </w:rPr>
        <w:drawing>
          <wp:inline distT="0" distB="0" distL="0" distR="0">
            <wp:extent cx="5139690" cy="2891790"/>
            <wp:effectExtent l="0" t="0" r="381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139690" cy="2891790"/>
                    </a:xfrm>
                    <a:prstGeom prst="rect">
                      <a:avLst/>
                    </a:prstGeom>
                    <a:noFill/>
                    <a:ln>
                      <a:noFill/>
                    </a:ln>
                  </pic:spPr>
                </pic:pic>
              </a:graphicData>
            </a:graphic>
          </wp:inline>
        </w:drawing>
      </w:r>
    </w:p>
    <w:p>
      <w:pPr>
        <w:adjustRightInd w:val="0"/>
        <w:snapToGrid w:val="0"/>
        <w:spacing w:line="36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中国社会科学院数量经济与技术经济研究所党委书记</w:t>
      </w:r>
    </w:p>
    <w:p>
      <w:pPr>
        <w:adjustRightInd w:val="0"/>
        <w:snapToGrid w:val="0"/>
        <w:spacing w:line="360" w:lineRule="auto"/>
        <w:ind w:firstLine="0" w:firstLineChars="0"/>
        <w:jc w:val="center"/>
        <w:rPr>
          <w:rFonts w:hint="eastAsia" w:ascii="仿宋" w:hAnsi="仿宋" w:eastAsia="仿宋" w:cs="宋体"/>
          <w:sz w:val="30"/>
          <w:szCs w:val="30"/>
        </w:rPr>
      </w:pPr>
      <w:r>
        <w:rPr>
          <w:rFonts w:hint="eastAsia" w:ascii="黑体" w:hAnsi="黑体" w:eastAsia="黑体" w:cs="黑体"/>
          <w:b w:val="0"/>
          <w:bCs w:val="0"/>
          <w:kern w:val="0"/>
          <w:sz w:val="24"/>
          <w:szCs w:val="24"/>
        </w:rPr>
        <w:t>李海舰</w:t>
      </w:r>
      <w:r>
        <w:rPr>
          <w:rFonts w:hint="eastAsia" w:ascii="黑体" w:hAnsi="黑体" w:eastAsia="黑体" w:cs="黑体"/>
          <w:b w:val="0"/>
          <w:bCs w:val="0"/>
          <w:kern w:val="0"/>
          <w:sz w:val="24"/>
          <w:szCs w:val="24"/>
          <w:lang w:eastAsia="zh-CN"/>
        </w:rPr>
        <w:t>研究员</w:t>
      </w:r>
      <w:r>
        <w:rPr>
          <w:rFonts w:hint="eastAsia" w:ascii="黑体" w:hAnsi="黑体" w:eastAsia="黑体" w:cs="黑体"/>
          <w:b w:val="0"/>
          <w:bCs w:val="0"/>
          <w:kern w:val="0"/>
          <w:sz w:val="24"/>
          <w:szCs w:val="24"/>
        </w:rPr>
        <w:t>主持开幕式</w:t>
      </w:r>
    </w:p>
    <w:p>
      <w:pPr>
        <w:adjustRightInd w:val="0"/>
        <w:snapToGrid w:val="0"/>
        <w:spacing w:line="360" w:lineRule="auto"/>
        <w:ind w:firstLine="600" w:firstLineChars="200"/>
        <w:rPr>
          <w:rFonts w:hint="eastAsia" w:ascii="仿宋" w:hAnsi="仿宋" w:eastAsia="仿宋" w:cs="宋体"/>
          <w:sz w:val="30"/>
          <w:szCs w:val="30"/>
        </w:rPr>
      </w:pPr>
    </w:p>
    <w:p>
      <w:pPr>
        <w:adjustRightInd w:val="0"/>
        <w:snapToGrid w:val="0"/>
        <w:spacing w:line="360" w:lineRule="auto"/>
        <w:ind w:firstLine="600" w:firstLineChars="200"/>
        <w:rPr>
          <w:rFonts w:hint="eastAsia" w:ascii="仿宋" w:hAnsi="仿宋" w:eastAsia="仿宋" w:cs="宋体"/>
          <w:sz w:val="30"/>
          <w:szCs w:val="30"/>
        </w:rPr>
      </w:pPr>
      <w:r>
        <w:rPr>
          <w:rFonts w:hint="eastAsia" w:ascii="仿宋" w:hAnsi="仿宋" w:eastAsia="仿宋" w:cs="宋体"/>
          <w:sz w:val="30"/>
          <w:szCs w:val="30"/>
        </w:rPr>
        <w:t>梁琪副书记在致辞中表示</w:t>
      </w:r>
      <w:r>
        <w:rPr>
          <w:rFonts w:hint="eastAsia" w:ascii="仿宋" w:hAnsi="仿宋" w:eastAsia="仿宋" w:cs="宋体"/>
          <w:sz w:val="30"/>
          <w:szCs w:val="30"/>
          <w:lang w:val="en-US" w:eastAsia="zh-CN"/>
        </w:rPr>
        <w:t>,</w:t>
      </w:r>
      <w:r>
        <w:rPr>
          <w:rFonts w:hint="eastAsia" w:ascii="仿宋" w:hAnsi="仿宋" w:eastAsia="仿宋" w:cs="宋体"/>
          <w:sz w:val="30"/>
          <w:szCs w:val="30"/>
        </w:rPr>
        <w:t>当今世界正处于百年未有之大变局，我国发展仍然处于重要的战略机遇期，中华民族伟大复兴正处于关键阶段，构建新发展格局，推动高质量发展为经济学研究提出了许多值得研究的新问题、新课题，对经济学服务经济社会发展提出了更高的要求，迫切需要进一步加快构建完善中国特色社会主义经济学理论体系</w:t>
      </w:r>
      <w:r>
        <w:rPr>
          <w:rFonts w:hint="eastAsia" w:ascii="仿宋" w:hAnsi="仿宋" w:eastAsia="仿宋" w:cs="宋体"/>
          <w:sz w:val="30"/>
          <w:szCs w:val="30"/>
          <w:lang w:eastAsia="zh-CN"/>
        </w:rPr>
        <w:t>。</w:t>
      </w:r>
      <w:r>
        <w:rPr>
          <w:rFonts w:hint="eastAsia" w:ascii="仿宋" w:hAnsi="仿宋" w:eastAsia="仿宋" w:cs="宋体"/>
          <w:sz w:val="30"/>
          <w:szCs w:val="30"/>
        </w:rPr>
        <w:t>经济学者应当勇挑重担，更好担负起为国家服务的任务。特别是青年学者</w:t>
      </w:r>
      <w:r>
        <w:rPr>
          <w:rFonts w:hint="eastAsia" w:ascii="仿宋" w:hAnsi="仿宋" w:eastAsia="仿宋" w:cs="宋体"/>
          <w:sz w:val="30"/>
          <w:szCs w:val="30"/>
          <w:lang w:eastAsia="zh-CN"/>
        </w:rPr>
        <w:t>，</w:t>
      </w:r>
      <w:r>
        <w:rPr>
          <w:rFonts w:hint="eastAsia" w:ascii="仿宋" w:hAnsi="仿宋" w:eastAsia="仿宋" w:cs="宋体"/>
          <w:sz w:val="30"/>
          <w:szCs w:val="30"/>
        </w:rPr>
        <w:t>是国家的未来，也是在世界经济学发展前沿发出中国声音的中坚力量</w:t>
      </w:r>
      <w:r>
        <w:rPr>
          <w:rFonts w:hint="eastAsia" w:ascii="仿宋" w:hAnsi="仿宋" w:eastAsia="仿宋" w:cs="宋体"/>
          <w:sz w:val="30"/>
          <w:szCs w:val="30"/>
          <w:lang w:eastAsia="zh-CN"/>
        </w:rPr>
        <w:t>。</w:t>
      </w:r>
      <w:r>
        <w:rPr>
          <w:rFonts w:hint="eastAsia" w:ascii="仿宋" w:hAnsi="仿宋" w:eastAsia="仿宋" w:cs="宋体"/>
          <w:sz w:val="30"/>
          <w:szCs w:val="30"/>
        </w:rPr>
        <w:t>本次</w:t>
      </w:r>
      <w:r>
        <w:rPr>
          <w:rFonts w:hint="eastAsia" w:ascii="仿宋" w:hAnsi="仿宋" w:eastAsia="仿宋" w:cs="宋体"/>
          <w:sz w:val="30"/>
          <w:szCs w:val="30"/>
          <w:lang w:eastAsia="zh-CN"/>
        </w:rPr>
        <w:t>博士后论坛</w:t>
      </w:r>
      <w:r>
        <w:rPr>
          <w:rFonts w:hint="eastAsia" w:ascii="仿宋" w:hAnsi="仿宋" w:eastAsia="仿宋" w:cs="宋体"/>
          <w:sz w:val="30"/>
          <w:szCs w:val="30"/>
        </w:rPr>
        <w:t>汇集了</w:t>
      </w:r>
      <w:r>
        <w:rPr>
          <w:rFonts w:hint="eastAsia" w:ascii="仿宋" w:hAnsi="仿宋" w:eastAsia="仿宋" w:cs="宋体"/>
          <w:sz w:val="30"/>
          <w:szCs w:val="30"/>
          <w:lang w:eastAsia="zh-CN"/>
        </w:rPr>
        <w:t>众多</w:t>
      </w:r>
      <w:r>
        <w:rPr>
          <w:rFonts w:hint="eastAsia" w:ascii="仿宋" w:hAnsi="仿宋" w:eastAsia="仿宋" w:cs="宋体"/>
          <w:sz w:val="30"/>
          <w:szCs w:val="30"/>
        </w:rPr>
        <w:t>优秀青年学者，为青年学者深入交流搭建了良好的平台。</w:t>
      </w:r>
    </w:p>
    <w:p>
      <w:pPr>
        <w:adjustRightInd w:val="0"/>
        <w:snapToGrid w:val="0"/>
        <w:spacing w:line="360" w:lineRule="auto"/>
        <w:jc w:val="center"/>
        <w:rPr>
          <w:rFonts w:ascii="仿宋" w:hAnsi="仿宋" w:eastAsia="仿宋"/>
          <w:sz w:val="30"/>
          <w:szCs w:val="30"/>
        </w:rPr>
      </w:pPr>
      <w:r>
        <w:drawing>
          <wp:inline distT="0" distB="0" distL="114300" distR="114300">
            <wp:extent cx="5674995" cy="3207385"/>
            <wp:effectExtent l="0" t="0" r="1905" b="1206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
                    <a:stretch>
                      <a:fillRect/>
                    </a:stretch>
                  </pic:blipFill>
                  <pic:spPr>
                    <a:xfrm>
                      <a:off x="0" y="0"/>
                      <a:ext cx="5674995" cy="3207385"/>
                    </a:xfrm>
                    <a:prstGeom prst="rect">
                      <a:avLst/>
                    </a:prstGeom>
                    <a:noFill/>
                    <a:ln>
                      <a:noFill/>
                    </a:ln>
                  </pic:spPr>
                </pic:pic>
              </a:graphicData>
            </a:graphic>
          </wp:inline>
        </w:drawing>
      </w:r>
    </w:p>
    <w:p>
      <w:pPr>
        <w:adjustRightInd w:val="0"/>
        <w:snapToGrid w:val="0"/>
        <w:spacing w:line="36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南开大学党委副书记梁琪教授致辞</w:t>
      </w:r>
    </w:p>
    <w:p>
      <w:pPr>
        <w:keepNext w:val="0"/>
        <w:keepLines w:val="0"/>
        <w:pageBreakBefore w:val="0"/>
        <w:widowControl w:val="0"/>
        <w:kinsoku/>
        <w:wordWrap/>
        <w:overflowPunct/>
        <w:topLinePunct w:val="0"/>
        <w:autoSpaceDE/>
        <w:autoSpaceDN/>
        <w:bidi w:val="0"/>
        <w:adjustRightInd/>
        <w:snapToGrid/>
        <w:spacing w:line="580" w:lineRule="exact"/>
        <w:ind w:firstLine="600" w:firstLineChars="200"/>
        <w:textAlignment w:val="baseline"/>
        <w:rPr>
          <w:rFonts w:hint="eastAsia" w:ascii="仿宋" w:hAnsi="仿宋" w:eastAsia="仿宋" w:cs="宋体"/>
          <w:sz w:val="30"/>
          <w:szCs w:val="30"/>
        </w:rPr>
      </w:pPr>
      <w:r>
        <w:rPr>
          <w:rFonts w:hint="eastAsia" w:ascii="仿宋" w:hAnsi="仿宋" w:eastAsia="仿宋" w:cs="宋体"/>
          <w:sz w:val="30"/>
          <w:szCs w:val="30"/>
        </w:rPr>
        <w:t>王霄副主任在致辞中指出，中国博士后制度是独具特色的培养高层次创新型青年人才的重要制度，博士后群体已成为各地区、各部门培养、吸引高层次人才的重要渠道，成为高校科研院所补充师资和科研人员的重要来源，成为国家重点科研平台和重大科技项目团队中科研创新的主力军。</w:t>
      </w:r>
      <w:r>
        <w:rPr>
          <w:rFonts w:hint="eastAsia" w:ascii="仿宋" w:hAnsi="仿宋" w:eastAsia="仿宋" w:cs="宋体"/>
          <w:sz w:val="30"/>
          <w:szCs w:val="30"/>
          <w:lang w:val="zh-CN"/>
        </w:rPr>
        <w:t>要全面贯彻六中全会和中央人才工作会议精神，着力培养高水平博士后人才队伍，培养造就具有国际竞争力的青年人才后备军。希望广大博士后</w:t>
      </w:r>
      <w:r>
        <w:rPr>
          <w:rFonts w:hint="eastAsia" w:ascii="仿宋" w:hAnsi="仿宋" w:eastAsia="仿宋" w:cs="宋体"/>
          <w:sz w:val="30"/>
          <w:szCs w:val="30"/>
        </w:rPr>
        <w:t>一</w:t>
      </w:r>
      <w:r>
        <w:rPr>
          <w:rFonts w:hint="eastAsia" w:ascii="仿宋" w:hAnsi="仿宋" w:eastAsia="仿宋" w:cs="宋体"/>
          <w:sz w:val="30"/>
          <w:szCs w:val="30"/>
          <w:lang w:eastAsia="zh-CN"/>
        </w:rPr>
        <w:t>要</w:t>
      </w:r>
      <w:r>
        <w:rPr>
          <w:rFonts w:hint="eastAsia" w:ascii="仿宋" w:hAnsi="仿宋" w:eastAsia="仿宋" w:cs="宋体"/>
          <w:sz w:val="30"/>
          <w:szCs w:val="30"/>
        </w:rPr>
        <w:t>加强</w:t>
      </w:r>
      <w:r>
        <w:rPr>
          <w:rFonts w:hint="eastAsia" w:ascii="仿宋" w:hAnsi="仿宋" w:eastAsia="仿宋" w:cs="宋体"/>
          <w:sz w:val="30"/>
          <w:szCs w:val="30"/>
          <w:lang w:eastAsia="zh-CN"/>
        </w:rPr>
        <w:t>理论研究的深度，</w:t>
      </w:r>
      <w:r>
        <w:rPr>
          <w:rFonts w:hint="eastAsia" w:ascii="仿宋" w:hAnsi="仿宋" w:eastAsia="仿宋" w:cs="宋体"/>
          <w:sz w:val="30"/>
          <w:szCs w:val="30"/>
        </w:rPr>
        <w:t>二</w:t>
      </w:r>
      <w:r>
        <w:rPr>
          <w:rFonts w:hint="eastAsia" w:ascii="仿宋" w:hAnsi="仿宋" w:eastAsia="仿宋" w:cs="宋体"/>
          <w:sz w:val="30"/>
          <w:szCs w:val="30"/>
          <w:lang w:eastAsia="zh-CN"/>
        </w:rPr>
        <w:t>要</w:t>
      </w:r>
      <w:r>
        <w:rPr>
          <w:rFonts w:hint="eastAsia" w:ascii="仿宋" w:hAnsi="仿宋" w:eastAsia="仿宋" w:cs="宋体"/>
          <w:sz w:val="30"/>
          <w:szCs w:val="30"/>
        </w:rPr>
        <w:t>坚持理论联系实际</w:t>
      </w:r>
      <w:r>
        <w:rPr>
          <w:rFonts w:hint="eastAsia" w:ascii="仿宋" w:hAnsi="仿宋" w:eastAsia="仿宋" w:cs="宋体"/>
          <w:sz w:val="30"/>
          <w:szCs w:val="30"/>
          <w:lang w:eastAsia="zh-CN"/>
        </w:rPr>
        <w:t>，</w:t>
      </w:r>
      <w:r>
        <w:rPr>
          <w:rFonts w:hint="eastAsia" w:ascii="仿宋" w:hAnsi="仿宋" w:eastAsia="仿宋" w:cs="宋体"/>
          <w:sz w:val="30"/>
          <w:szCs w:val="30"/>
        </w:rPr>
        <w:t>三</w:t>
      </w:r>
      <w:r>
        <w:rPr>
          <w:rFonts w:hint="eastAsia" w:ascii="仿宋" w:hAnsi="仿宋" w:eastAsia="仿宋" w:cs="宋体"/>
          <w:sz w:val="30"/>
          <w:szCs w:val="30"/>
          <w:lang w:eastAsia="zh-CN"/>
        </w:rPr>
        <w:t>要</w:t>
      </w:r>
      <w:r>
        <w:rPr>
          <w:rFonts w:hint="eastAsia" w:ascii="仿宋" w:hAnsi="仿宋" w:eastAsia="仿宋" w:cs="宋体"/>
          <w:sz w:val="30"/>
          <w:szCs w:val="30"/>
        </w:rPr>
        <w:t>坚持理论自信和文化自信，吸收和转化世界优秀的经济学研究成果，努力为中国智慧、中国实践，为中国经济理论走向世界做出贡献</w:t>
      </w:r>
      <w:r>
        <w:rPr>
          <w:rFonts w:hint="eastAsia" w:ascii="仿宋" w:hAnsi="仿宋" w:eastAsia="仿宋" w:cs="宋体"/>
          <w:sz w:val="30"/>
          <w:szCs w:val="30"/>
          <w:lang w:eastAsia="zh-CN"/>
        </w:rPr>
        <w:t>，</w:t>
      </w:r>
      <w:r>
        <w:rPr>
          <w:rFonts w:hint="eastAsia" w:ascii="仿宋" w:hAnsi="仿宋" w:eastAsia="仿宋" w:cs="宋体"/>
          <w:sz w:val="30"/>
          <w:szCs w:val="30"/>
        </w:rPr>
        <w:t>在理论创新、制度创新、实践创新上迈出更加坚实的步伐。</w:t>
      </w:r>
    </w:p>
    <w:p>
      <w:pPr>
        <w:adjustRightInd w:val="0"/>
        <w:snapToGrid w:val="0"/>
        <w:spacing w:line="360" w:lineRule="auto"/>
        <w:jc w:val="center"/>
        <w:rPr>
          <w:rFonts w:ascii="仿宋" w:hAnsi="仿宋" w:eastAsia="仿宋"/>
          <w:sz w:val="30"/>
          <w:szCs w:val="30"/>
        </w:rPr>
      </w:pPr>
      <w:r>
        <w:rPr>
          <w:rFonts w:ascii="仿宋" w:hAnsi="仿宋" w:eastAsia="仿宋"/>
          <w:sz w:val="30"/>
          <w:szCs w:val="30"/>
        </w:rPr>
        <w:drawing>
          <wp:inline distT="0" distB="0" distL="0" distR="0">
            <wp:extent cx="5270500" cy="296545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0500" cy="2965450"/>
                    </a:xfrm>
                    <a:prstGeom prst="rect">
                      <a:avLst/>
                    </a:prstGeom>
                    <a:noFill/>
                    <a:ln>
                      <a:noFill/>
                    </a:ln>
                  </pic:spPr>
                </pic:pic>
              </a:graphicData>
            </a:graphic>
          </wp:inline>
        </w:drawing>
      </w:r>
    </w:p>
    <w:p>
      <w:pPr>
        <w:adjustRightInd w:val="0"/>
        <w:snapToGrid w:val="0"/>
        <w:spacing w:line="360" w:lineRule="auto"/>
        <w:ind w:firstLine="0" w:firstLineChars="0"/>
        <w:jc w:val="center"/>
        <w:rPr>
          <w:rFonts w:hint="eastAsia" w:ascii="仿宋" w:hAnsi="仿宋" w:eastAsia="仿宋" w:cs="宋体"/>
          <w:sz w:val="30"/>
          <w:szCs w:val="30"/>
          <w:lang w:val="zh-CN"/>
        </w:rPr>
      </w:pPr>
      <w:r>
        <w:rPr>
          <w:rFonts w:hint="eastAsia" w:ascii="黑体" w:hAnsi="黑体" w:eastAsia="黑体" w:cs="黑体"/>
          <w:b w:val="0"/>
          <w:bCs w:val="0"/>
          <w:kern w:val="0"/>
          <w:sz w:val="24"/>
          <w:szCs w:val="24"/>
        </w:rPr>
        <w:t>人社部留学人员和专家服务中心王霄副主任致辞</w:t>
      </w:r>
    </w:p>
    <w:p>
      <w:pPr>
        <w:adjustRightInd w:val="0"/>
        <w:snapToGrid w:val="0"/>
        <w:spacing w:line="360" w:lineRule="auto"/>
        <w:ind w:firstLine="600" w:firstLineChars="200"/>
        <w:rPr>
          <w:rFonts w:hint="eastAsia" w:ascii="仿宋" w:hAnsi="仿宋" w:eastAsia="仿宋" w:cs="宋体"/>
          <w:sz w:val="30"/>
          <w:szCs w:val="30"/>
        </w:rPr>
      </w:pPr>
      <w:r>
        <w:rPr>
          <w:rFonts w:hint="eastAsia" w:ascii="仿宋" w:hAnsi="仿宋" w:eastAsia="仿宋" w:cs="宋体"/>
          <w:sz w:val="30"/>
          <w:szCs w:val="30"/>
        </w:rPr>
        <w:t>赵芮局长在讲话中强调，举办全国性的高水平博士后论坛，</w:t>
      </w:r>
      <w:r>
        <w:rPr>
          <w:rFonts w:hint="eastAsia" w:ascii="仿宋" w:hAnsi="仿宋" w:eastAsia="仿宋" w:cs="宋体"/>
          <w:sz w:val="30"/>
          <w:szCs w:val="30"/>
          <w:lang w:eastAsia="zh-CN"/>
        </w:rPr>
        <w:t>是</w:t>
      </w:r>
      <w:r>
        <w:rPr>
          <w:rFonts w:hint="eastAsia" w:ascii="仿宋" w:hAnsi="仿宋" w:eastAsia="仿宋" w:cs="宋体"/>
          <w:sz w:val="30"/>
          <w:szCs w:val="30"/>
        </w:rPr>
        <w:t>落实习近平总书记在中央人才工作会议上重要讲话精神</w:t>
      </w:r>
      <w:r>
        <w:rPr>
          <w:rFonts w:hint="eastAsia" w:ascii="仿宋" w:hAnsi="仿宋" w:eastAsia="仿宋" w:cs="宋体"/>
          <w:sz w:val="30"/>
          <w:szCs w:val="30"/>
          <w:lang w:eastAsia="zh-CN"/>
        </w:rPr>
        <w:t>，支持青年人才挑大梁、当主角的重要举措。要把培育国家战略人才力量的政策重心放在青年科技人才上，发挥好</w:t>
      </w:r>
      <w:r>
        <w:rPr>
          <w:rFonts w:hint="eastAsia" w:ascii="仿宋" w:hAnsi="仿宋" w:eastAsia="仿宋" w:cs="宋体"/>
          <w:sz w:val="30"/>
          <w:szCs w:val="30"/>
        </w:rPr>
        <w:t>博士后制度</w:t>
      </w:r>
      <w:r>
        <w:rPr>
          <w:rFonts w:hint="eastAsia" w:ascii="仿宋" w:hAnsi="仿宋" w:eastAsia="仿宋" w:cs="宋体"/>
          <w:sz w:val="30"/>
          <w:szCs w:val="30"/>
          <w:lang w:eastAsia="zh-CN"/>
        </w:rPr>
        <w:t>作为</w:t>
      </w:r>
      <w:r>
        <w:rPr>
          <w:rFonts w:hint="eastAsia" w:ascii="仿宋" w:hAnsi="仿宋" w:eastAsia="仿宋" w:cs="宋体"/>
          <w:sz w:val="30"/>
          <w:szCs w:val="30"/>
        </w:rPr>
        <w:t>我院进人的主渠道和人才培养的蓄水池</w:t>
      </w:r>
      <w:r>
        <w:rPr>
          <w:rFonts w:hint="eastAsia" w:ascii="仿宋" w:hAnsi="仿宋" w:eastAsia="仿宋" w:cs="宋体"/>
          <w:sz w:val="30"/>
          <w:szCs w:val="30"/>
          <w:lang w:eastAsia="zh-CN"/>
        </w:rPr>
        <w:t>的重要作用</w:t>
      </w:r>
      <w:r>
        <w:rPr>
          <w:rFonts w:hint="eastAsia" w:ascii="仿宋" w:hAnsi="仿宋" w:eastAsia="仿宋" w:cs="宋体"/>
          <w:sz w:val="30"/>
          <w:szCs w:val="30"/>
        </w:rPr>
        <w:t>。他指出，今年是中国共产党成立一百周年，是党领导人民实现第一个百年目标，向第二个百年目标迈进的重大历史关头。站在新的历史起点，中国</w:t>
      </w:r>
      <w:r>
        <w:rPr>
          <w:rFonts w:hint="eastAsia" w:ascii="仿宋" w:hAnsi="仿宋" w:eastAsia="仿宋" w:cs="宋体"/>
          <w:sz w:val="30"/>
          <w:szCs w:val="30"/>
          <w:lang w:eastAsia="zh-CN"/>
        </w:rPr>
        <w:t>的</w:t>
      </w:r>
      <w:r>
        <w:rPr>
          <w:rFonts w:hint="eastAsia" w:ascii="仿宋" w:hAnsi="仿宋" w:eastAsia="仿宋" w:cs="宋体"/>
          <w:sz w:val="30"/>
          <w:szCs w:val="30"/>
        </w:rPr>
        <w:t>数量经济与技术经济学</w:t>
      </w:r>
      <w:r>
        <w:rPr>
          <w:rFonts w:hint="eastAsia" w:ascii="仿宋" w:hAnsi="仿宋" w:eastAsia="仿宋" w:cs="宋体"/>
          <w:sz w:val="30"/>
          <w:szCs w:val="30"/>
          <w:lang w:eastAsia="zh-CN"/>
        </w:rPr>
        <w:t>研究</w:t>
      </w:r>
      <w:r>
        <w:rPr>
          <w:rFonts w:hint="eastAsia" w:ascii="仿宋" w:hAnsi="仿宋" w:eastAsia="仿宋" w:cs="宋体"/>
          <w:sz w:val="30"/>
          <w:szCs w:val="30"/>
        </w:rPr>
        <w:t>必将发挥更加重要的作用。期待博士后在未来加</w:t>
      </w:r>
      <w:r>
        <w:rPr>
          <w:rFonts w:hint="eastAsia" w:ascii="仿宋" w:hAnsi="仿宋" w:eastAsia="仿宋" w:cs="宋体"/>
          <w:sz w:val="30"/>
          <w:szCs w:val="30"/>
          <w:lang w:eastAsia="zh-CN"/>
        </w:rPr>
        <w:t>强</w:t>
      </w:r>
      <w:r>
        <w:rPr>
          <w:rFonts w:hint="eastAsia" w:ascii="仿宋" w:hAnsi="仿宋" w:eastAsia="仿宋" w:cs="宋体"/>
          <w:sz w:val="30"/>
          <w:szCs w:val="30"/>
        </w:rPr>
        <w:t>数量经济与技术经济理论、方法和应用创新，深入钻研，</w:t>
      </w:r>
      <w:r>
        <w:rPr>
          <w:rFonts w:hint="eastAsia" w:ascii="仿宋" w:hAnsi="仿宋" w:eastAsia="仿宋" w:cs="宋体"/>
          <w:sz w:val="30"/>
          <w:szCs w:val="30"/>
          <w:lang w:eastAsia="zh-CN"/>
        </w:rPr>
        <w:t>推出</w:t>
      </w:r>
      <w:r>
        <w:rPr>
          <w:rFonts w:hint="eastAsia" w:ascii="仿宋" w:hAnsi="仿宋" w:eastAsia="仿宋" w:cs="宋体"/>
          <w:sz w:val="30"/>
          <w:szCs w:val="30"/>
        </w:rPr>
        <w:t>更多精品力作，为我国社会主义现代化强国建设做出贡献。</w:t>
      </w:r>
    </w:p>
    <w:p>
      <w:pPr>
        <w:adjustRightInd w:val="0"/>
        <w:snapToGrid w:val="0"/>
        <w:spacing w:line="360" w:lineRule="auto"/>
        <w:jc w:val="center"/>
        <w:rPr>
          <w:rFonts w:ascii="仿宋" w:hAnsi="仿宋" w:eastAsia="仿宋" w:cs="宋体"/>
          <w:sz w:val="30"/>
          <w:szCs w:val="30"/>
        </w:rPr>
      </w:pPr>
      <w:r>
        <w:rPr>
          <w:rFonts w:hint="eastAsia" w:ascii="仿宋" w:hAnsi="仿宋" w:eastAsia="仿宋" w:cs="宋体"/>
          <w:sz w:val="30"/>
          <w:szCs w:val="30"/>
        </w:rPr>
        <w:drawing>
          <wp:inline distT="0" distB="0" distL="0" distR="0">
            <wp:extent cx="5149215" cy="3620135"/>
            <wp:effectExtent l="0" t="0" r="1905" b="6985"/>
            <wp:docPr id="19" name="图片 19" descr="C:\Users\DELL\Desktop\赵局1_副本.jpg赵局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ELL\Desktop\赵局1_副本.jpg赵局1_副本"/>
                    <pic:cNvPicPr>
                      <a:picLocks noChangeAspect="1" noChangeArrowheads="1"/>
                    </pic:cNvPicPr>
                  </pic:nvPicPr>
                  <pic:blipFill>
                    <a:blip r:embed="rId7" cstate="print">
                      <a:extLst>
                        <a:ext uri="{28A0092B-C50C-407E-A947-70E740481C1C}">
                          <a14:useLocalDpi xmlns:a14="http://schemas.microsoft.com/office/drawing/2010/main" val="0"/>
                        </a:ext>
                      </a:extLst>
                    </a:blip>
                    <a:srcRect r="23624"/>
                    <a:stretch>
                      <a:fillRect/>
                    </a:stretch>
                  </pic:blipFill>
                  <pic:spPr>
                    <a:xfrm>
                      <a:off x="0" y="0"/>
                      <a:ext cx="5149215" cy="3620135"/>
                    </a:xfrm>
                    <a:prstGeom prst="rect">
                      <a:avLst/>
                    </a:prstGeom>
                    <a:noFill/>
                    <a:ln>
                      <a:noFill/>
                    </a:ln>
                  </pic:spPr>
                </pic:pic>
              </a:graphicData>
            </a:graphic>
          </wp:inline>
        </w:drawing>
      </w:r>
    </w:p>
    <w:p>
      <w:pPr>
        <w:adjustRightInd w:val="0"/>
        <w:snapToGrid w:val="0"/>
        <w:spacing w:line="360" w:lineRule="auto"/>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中国社会科学院人事教育局局长赵芮研究员致辞</w:t>
      </w:r>
    </w:p>
    <w:p>
      <w:pPr>
        <w:adjustRightInd w:val="0"/>
        <w:snapToGrid w:val="0"/>
        <w:spacing w:line="360" w:lineRule="auto"/>
        <w:ind w:firstLine="600" w:firstLineChars="200"/>
        <w:rPr>
          <w:rFonts w:hint="eastAsia" w:ascii="仿宋" w:hAnsi="仿宋" w:eastAsia="仿宋" w:cs="宋体"/>
          <w:sz w:val="30"/>
          <w:szCs w:val="30"/>
          <w:lang w:val="zh-CN"/>
        </w:rPr>
      </w:pPr>
      <w:r>
        <w:rPr>
          <w:rFonts w:hint="eastAsia" w:ascii="仿宋" w:hAnsi="仿宋" w:eastAsia="仿宋" w:cs="宋体"/>
          <w:sz w:val="30"/>
          <w:szCs w:val="30"/>
        </w:rPr>
        <w:t>李雪松所长在致辞中介绍了数技经所在推动我国经济学研究现代化方面所做的贡献和“引领学术前沿，聚焦重大问题，促进交叉融合，服务国家战略”的办所理念。他指出，博士后流动站是我们培养后继有人、培养高素质人才的重要平台。作为中国社科院最早设立博士后流动站的单位，数技经所</w:t>
      </w:r>
      <w:r>
        <w:rPr>
          <w:rFonts w:hint="eastAsia" w:ascii="仿宋" w:hAnsi="仿宋" w:eastAsia="仿宋" w:cs="宋体"/>
          <w:sz w:val="30"/>
          <w:szCs w:val="30"/>
          <w:lang w:val="zh-CN"/>
        </w:rPr>
        <w:t>历任所长都高度重视博士后工作，在博士后工作中发挥了重要的引领作用。</w:t>
      </w:r>
      <w:r>
        <w:rPr>
          <w:rFonts w:hint="eastAsia" w:ascii="仿宋" w:hAnsi="仿宋" w:eastAsia="仿宋" w:cs="宋体"/>
          <w:sz w:val="30"/>
          <w:szCs w:val="30"/>
        </w:rPr>
        <w:t>刚刚闭幕的中央经济工作会议强调要坚持以经济建设为中心，数量经济和技术经济两大学科在立足新发展阶段，贯彻新发展理念，构建新发展格局，推动高质量发展，促进共同富裕等方面研究中大有可为。他希望与会的博士后等青年才俊</w:t>
      </w:r>
      <w:r>
        <w:rPr>
          <w:rFonts w:hint="eastAsia" w:ascii="仿宋" w:hAnsi="仿宋" w:eastAsia="仿宋" w:cs="宋体"/>
          <w:sz w:val="30"/>
          <w:szCs w:val="30"/>
          <w:lang w:eastAsia="zh-CN"/>
        </w:rPr>
        <w:t>利用</w:t>
      </w:r>
      <w:r>
        <w:rPr>
          <w:rFonts w:hint="eastAsia" w:ascii="仿宋" w:hAnsi="仿宋" w:eastAsia="仿宋" w:cs="宋体"/>
          <w:sz w:val="30"/>
          <w:szCs w:val="30"/>
          <w:lang w:val="zh-CN"/>
        </w:rPr>
        <w:t>论坛这个平台充分交流，启迪思想和智慧，提出更好的政策建议，为国家发展贡献力量。</w:t>
      </w:r>
    </w:p>
    <w:p>
      <w:pPr>
        <w:adjustRightInd w:val="0"/>
        <w:snapToGrid w:val="0"/>
        <w:spacing w:line="360" w:lineRule="auto"/>
        <w:rPr>
          <w:rFonts w:hint="eastAsia" w:ascii="仿宋" w:hAnsi="仿宋" w:eastAsia="仿宋" w:cs="宋体"/>
          <w:sz w:val="30"/>
          <w:szCs w:val="30"/>
          <w:lang w:val="zh-CN"/>
        </w:rPr>
      </w:pPr>
      <w:r>
        <w:drawing>
          <wp:inline distT="0" distB="0" distL="114300" distR="114300">
            <wp:extent cx="5273040" cy="3590925"/>
            <wp:effectExtent l="0" t="0" r="381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73040" cy="3590925"/>
                    </a:xfrm>
                    <a:prstGeom prst="rect">
                      <a:avLst/>
                    </a:prstGeom>
                    <a:noFill/>
                    <a:ln>
                      <a:noFill/>
                    </a:ln>
                  </pic:spPr>
                </pic:pic>
              </a:graphicData>
            </a:graphic>
          </wp:inline>
        </w:drawing>
      </w:r>
    </w:p>
    <w:p>
      <w:pPr>
        <w:adjustRightInd w:val="0"/>
        <w:snapToGrid w:val="0"/>
        <w:spacing w:line="360" w:lineRule="auto"/>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中国社会科学院数量经济与技术经济研究所所长</w:t>
      </w:r>
    </w:p>
    <w:p>
      <w:pPr>
        <w:adjustRightInd w:val="0"/>
        <w:snapToGrid w:val="0"/>
        <w:spacing w:line="360" w:lineRule="auto"/>
        <w:ind w:firstLine="0" w:firstLineChars="0"/>
        <w:jc w:val="center"/>
        <w:rPr>
          <w:rFonts w:hint="eastAsia" w:ascii="仿宋" w:hAnsi="仿宋" w:eastAsia="仿宋" w:cs="宋体"/>
          <w:sz w:val="30"/>
          <w:szCs w:val="30"/>
          <w:lang w:val="zh-CN"/>
        </w:rPr>
      </w:pPr>
      <w:r>
        <w:rPr>
          <w:rFonts w:hint="eastAsia" w:ascii="黑体" w:hAnsi="黑体" w:eastAsia="黑体" w:cs="黑体"/>
          <w:b w:val="0"/>
          <w:bCs w:val="0"/>
          <w:kern w:val="0"/>
          <w:sz w:val="24"/>
          <w:szCs w:val="24"/>
        </w:rPr>
        <w:t>李雪松研究员致辞</w:t>
      </w:r>
    </w:p>
    <w:p>
      <w:pPr>
        <w:adjustRightInd w:val="0"/>
        <w:snapToGrid w:val="0"/>
        <w:spacing w:line="360" w:lineRule="auto"/>
        <w:ind w:firstLine="600" w:firstLineChars="200"/>
        <w:rPr>
          <w:rFonts w:hint="eastAsia" w:ascii="仿宋" w:hAnsi="仿宋" w:eastAsia="仿宋" w:cs="宋体"/>
          <w:bCs/>
          <w:kern w:val="0"/>
          <w:sz w:val="30"/>
          <w:szCs w:val="30"/>
        </w:rPr>
      </w:pPr>
      <w:r>
        <w:rPr>
          <w:rFonts w:hint="eastAsia" w:ascii="仿宋" w:hAnsi="仿宋" w:eastAsia="仿宋" w:cs="宋体"/>
          <w:bCs/>
          <w:kern w:val="0"/>
          <w:sz w:val="30"/>
          <w:szCs w:val="30"/>
        </w:rPr>
        <w:t>第一单元主旨报告</w:t>
      </w:r>
      <w:r>
        <w:rPr>
          <w:rFonts w:ascii="仿宋" w:hAnsi="仿宋" w:eastAsia="仿宋" w:cs="宋体"/>
          <w:bCs/>
          <w:kern w:val="0"/>
          <w:sz w:val="30"/>
          <w:szCs w:val="30"/>
        </w:rPr>
        <w:t>由</w:t>
      </w:r>
      <w:r>
        <w:rPr>
          <w:rFonts w:hint="eastAsia" w:ascii="仿宋" w:hAnsi="仿宋" w:eastAsia="仿宋" w:cs="宋体"/>
          <w:bCs/>
          <w:kern w:val="0"/>
          <w:sz w:val="30"/>
          <w:szCs w:val="30"/>
        </w:rPr>
        <w:t>南开大学党委副书记梁琪教授</w:t>
      </w:r>
      <w:r>
        <w:rPr>
          <w:rFonts w:ascii="仿宋" w:hAnsi="仿宋" w:eastAsia="仿宋" w:cs="宋体"/>
          <w:bCs/>
          <w:kern w:val="0"/>
          <w:sz w:val="30"/>
          <w:szCs w:val="30"/>
        </w:rPr>
        <w:t>主持</w:t>
      </w:r>
      <w:r>
        <w:rPr>
          <w:rFonts w:hint="eastAsia" w:ascii="仿宋" w:hAnsi="仿宋" w:eastAsia="仿宋" w:cs="宋体"/>
          <w:bCs/>
          <w:kern w:val="0"/>
          <w:sz w:val="30"/>
          <w:szCs w:val="30"/>
        </w:rPr>
        <w:t>。全国人大常委、</w:t>
      </w:r>
      <w:r>
        <w:rPr>
          <w:rFonts w:ascii="仿宋" w:hAnsi="仿宋" w:eastAsia="仿宋" w:cs="宋体"/>
          <w:bCs/>
          <w:kern w:val="0"/>
          <w:sz w:val="30"/>
          <w:szCs w:val="30"/>
        </w:rPr>
        <w:t>中国</w:t>
      </w:r>
      <w:r>
        <w:rPr>
          <w:rFonts w:hint="eastAsia" w:ascii="仿宋" w:hAnsi="仿宋" w:eastAsia="仿宋" w:cs="宋体"/>
          <w:bCs/>
          <w:kern w:val="0"/>
          <w:sz w:val="30"/>
          <w:szCs w:val="30"/>
          <w:lang w:eastAsia="zh-CN"/>
        </w:rPr>
        <w:t>社会科学</w:t>
      </w:r>
      <w:r>
        <w:rPr>
          <w:rFonts w:hint="eastAsia" w:ascii="仿宋" w:hAnsi="仿宋" w:eastAsia="仿宋" w:cs="宋体"/>
          <w:bCs/>
          <w:kern w:val="0"/>
          <w:sz w:val="30"/>
          <w:szCs w:val="30"/>
        </w:rPr>
        <w:t>院</w:t>
      </w:r>
      <w:r>
        <w:rPr>
          <w:rFonts w:ascii="仿宋" w:hAnsi="仿宋" w:eastAsia="仿宋" w:cs="宋体"/>
          <w:bCs/>
          <w:kern w:val="0"/>
          <w:sz w:val="30"/>
          <w:szCs w:val="30"/>
        </w:rPr>
        <w:t>原副院长</w:t>
      </w:r>
      <w:r>
        <w:rPr>
          <w:rFonts w:hint="eastAsia" w:ascii="仿宋" w:hAnsi="仿宋" w:eastAsia="仿宋" w:cs="宋体"/>
          <w:bCs/>
          <w:kern w:val="0"/>
          <w:sz w:val="30"/>
          <w:szCs w:val="30"/>
        </w:rPr>
        <w:t>、</w:t>
      </w:r>
      <w:r>
        <w:rPr>
          <w:rFonts w:ascii="仿宋" w:hAnsi="仿宋" w:eastAsia="仿宋" w:cs="宋体"/>
          <w:bCs/>
          <w:kern w:val="0"/>
          <w:sz w:val="30"/>
          <w:szCs w:val="30"/>
        </w:rPr>
        <w:t>中国</w:t>
      </w:r>
      <w:r>
        <w:rPr>
          <w:rFonts w:hint="eastAsia" w:ascii="仿宋" w:hAnsi="仿宋" w:eastAsia="仿宋" w:cs="宋体"/>
          <w:bCs/>
          <w:kern w:val="0"/>
          <w:sz w:val="30"/>
          <w:szCs w:val="30"/>
          <w:lang w:eastAsia="zh-CN"/>
        </w:rPr>
        <w:t>社会科学</w:t>
      </w:r>
      <w:r>
        <w:rPr>
          <w:rFonts w:hint="eastAsia" w:ascii="仿宋" w:hAnsi="仿宋" w:eastAsia="仿宋" w:cs="宋体"/>
          <w:bCs/>
          <w:kern w:val="0"/>
          <w:sz w:val="30"/>
          <w:szCs w:val="30"/>
        </w:rPr>
        <w:t>院</w:t>
      </w:r>
      <w:r>
        <w:rPr>
          <w:rFonts w:ascii="仿宋" w:hAnsi="仿宋" w:eastAsia="仿宋" w:cs="宋体"/>
          <w:bCs/>
          <w:kern w:val="0"/>
          <w:sz w:val="30"/>
          <w:szCs w:val="30"/>
        </w:rPr>
        <w:t>国家高端智库首席专家</w:t>
      </w:r>
      <w:r>
        <w:rPr>
          <w:rFonts w:hint="eastAsia" w:ascii="仿宋" w:hAnsi="仿宋" w:eastAsia="仿宋" w:cs="宋体"/>
          <w:bCs/>
          <w:kern w:val="0"/>
          <w:sz w:val="30"/>
          <w:szCs w:val="30"/>
        </w:rPr>
        <w:t>、央行货币政策委员会委员</w:t>
      </w:r>
      <w:r>
        <w:rPr>
          <w:rFonts w:ascii="仿宋" w:hAnsi="仿宋" w:eastAsia="仿宋" w:cs="宋体"/>
          <w:bCs/>
          <w:kern w:val="0"/>
          <w:sz w:val="30"/>
          <w:szCs w:val="30"/>
        </w:rPr>
        <w:t>蔡昉</w:t>
      </w:r>
      <w:r>
        <w:rPr>
          <w:rFonts w:hint="eastAsia" w:ascii="仿宋" w:hAnsi="仿宋" w:eastAsia="仿宋" w:cs="宋体"/>
          <w:bCs/>
          <w:kern w:val="0"/>
          <w:sz w:val="30"/>
          <w:szCs w:val="30"/>
        </w:rPr>
        <w:t>学部委员以及</w:t>
      </w:r>
      <w:r>
        <w:rPr>
          <w:rFonts w:ascii="仿宋" w:hAnsi="仿宋" w:eastAsia="仿宋" w:cs="宋体"/>
          <w:bCs/>
          <w:kern w:val="0"/>
          <w:sz w:val="30"/>
          <w:szCs w:val="30"/>
        </w:rPr>
        <w:t>国务院发展研究中心原副主任</w:t>
      </w:r>
      <w:r>
        <w:rPr>
          <w:rFonts w:hint="eastAsia" w:ascii="仿宋" w:hAnsi="仿宋" w:eastAsia="仿宋" w:cs="宋体"/>
          <w:bCs/>
          <w:kern w:val="0"/>
          <w:sz w:val="30"/>
          <w:szCs w:val="30"/>
        </w:rPr>
        <w:t>、</w:t>
      </w:r>
      <w:r>
        <w:rPr>
          <w:rFonts w:ascii="仿宋" w:hAnsi="仿宋" w:eastAsia="仿宋" w:cs="宋体"/>
          <w:bCs/>
          <w:kern w:val="0"/>
          <w:sz w:val="30"/>
          <w:szCs w:val="30"/>
        </w:rPr>
        <w:t>中国国际经济交流中心副理事长</w:t>
      </w:r>
      <w:r>
        <w:rPr>
          <w:rFonts w:hint="eastAsia" w:ascii="仿宋" w:hAnsi="仿宋" w:eastAsia="仿宋" w:cs="宋体"/>
          <w:bCs/>
          <w:kern w:val="0"/>
          <w:sz w:val="30"/>
          <w:szCs w:val="30"/>
        </w:rPr>
        <w:t>、全国政协经济委员会委员、央行货币政策委员会委员王一鸣研究员分别作主旨报告。</w:t>
      </w:r>
    </w:p>
    <w:p>
      <w:pPr>
        <w:adjustRightInd w:val="0"/>
        <w:snapToGrid w:val="0"/>
        <w:spacing w:line="360" w:lineRule="auto"/>
        <w:ind w:firstLine="600" w:firstLineChars="200"/>
        <w:rPr>
          <w:rFonts w:hint="eastAsia" w:ascii="仿宋" w:hAnsi="仿宋" w:eastAsia="仿宋" w:cs="宋体"/>
          <w:bCs/>
          <w:kern w:val="0"/>
          <w:sz w:val="30"/>
          <w:szCs w:val="30"/>
          <w:lang w:val="en-US" w:eastAsia="zh-CN"/>
        </w:rPr>
      </w:pPr>
      <w:r>
        <w:rPr>
          <w:rFonts w:hint="eastAsia" w:ascii="仿宋" w:hAnsi="仿宋" w:eastAsia="仿宋" w:cs="宋体"/>
          <w:bCs/>
          <w:kern w:val="0"/>
          <w:sz w:val="30"/>
          <w:szCs w:val="30"/>
        </w:rPr>
        <w:t>蔡昉学部委员以“新发展阶段需要创新经济学研究”为题作主旨报告。他指出，中国正在面临六个重大转变，中国经济学研究应从六大转变中寻找灵感。第一个重要转变是中国的增长型模式应该从生产要素投入型的增长模式转向生产率提高型。在经济高质量发展阶段，以劳动、资本投入带动高速经济增长应转换为靠提高生产率为支撑。第二个转变是过去具有帕累托改进性质的资源配置要转向具有创造性破坏的资源配置，经济学需要研究创造性破坏，使经济运行既能够减少因创造性破坏带来的不良后果，还能获得创造所带来的好处。第三个重要转变是不受约束和监管的市场向更规范的宏观调控和市场监管转变，尤其需要关注新的科技革命引发的垄断问题。第四个重要转变是过去以地理、资源和历史等作为决定性因素的区域差异，转向一些新的发展因素导致的区域差异，“二分法”观念已经不再适用于当今形势。第五个转变是企业从股东利益优先、利润最大化作为主要导向，转向以纳入社会责任等多重目标导向。第六个转变是，在劳动力市场中，从创造就业岗位数量目标转变为创造更多数量和更高质量就业岗位并重。以上六大转变对推动经济学的理论、范式和实践创新具有重要意义。</w:t>
      </w:r>
      <w:r>
        <w:rPr>
          <w:rFonts w:hint="eastAsia" w:ascii="仿宋" w:hAnsi="仿宋" w:eastAsia="仿宋" w:cs="宋体"/>
          <w:bCs/>
          <w:kern w:val="0"/>
          <w:sz w:val="30"/>
          <w:szCs w:val="30"/>
          <w:lang w:eastAsia="zh-CN"/>
        </w:rPr>
        <w:t>他殷切希望博士后青年人才能够深入开展研究，积极回答时代命题。</w:t>
      </w:r>
    </w:p>
    <w:p>
      <w:pPr>
        <w:adjustRightInd w:val="0"/>
        <w:snapToGrid w:val="0"/>
        <w:spacing w:line="360" w:lineRule="auto"/>
        <w:jc w:val="center"/>
        <w:rPr>
          <w:rFonts w:ascii="仿宋" w:hAnsi="仿宋" w:eastAsia="仿宋" w:cs="宋体"/>
          <w:bCs/>
          <w:kern w:val="0"/>
          <w:sz w:val="30"/>
          <w:szCs w:val="30"/>
        </w:rPr>
      </w:pPr>
      <w:r>
        <w:drawing>
          <wp:inline distT="0" distB="0" distL="114300" distR="114300">
            <wp:extent cx="5271770" cy="3578860"/>
            <wp:effectExtent l="0" t="0" r="50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71770" cy="3578860"/>
                    </a:xfrm>
                    <a:prstGeom prst="rect">
                      <a:avLst/>
                    </a:prstGeom>
                    <a:noFill/>
                    <a:ln>
                      <a:noFill/>
                    </a:ln>
                  </pic:spPr>
                </pic:pic>
              </a:graphicData>
            </a:graphic>
          </wp:inline>
        </w:drawing>
      </w:r>
    </w:p>
    <w:p>
      <w:pPr>
        <w:adjustRightInd w:val="0"/>
        <w:snapToGrid w:val="0"/>
        <w:spacing w:line="36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中国社会科学院国家高端智库首席专家</w:t>
      </w:r>
    </w:p>
    <w:p>
      <w:pPr>
        <w:adjustRightInd w:val="0"/>
        <w:snapToGrid w:val="0"/>
        <w:spacing w:line="360" w:lineRule="auto"/>
        <w:ind w:firstLine="0" w:firstLineChars="0"/>
        <w:jc w:val="center"/>
        <w:rPr>
          <w:rFonts w:hint="eastAsia" w:ascii="黑体" w:hAnsi="黑体" w:eastAsia="黑体" w:cs="黑体"/>
          <w:bCs w:val="0"/>
          <w:kern w:val="0"/>
          <w:sz w:val="24"/>
          <w:szCs w:val="24"/>
        </w:rPr>
      </w:pPr>
      <w:r>
        <w:rPr>
          <w:rFonts w:hint="eastAsia" w:ascii="黑体" w:hAnsi="黑体" w:eastAsia="黑体" w:cs="黑体"/>
          <w:b w:val="0"/>
          <w:bCs w:val="0"/>
          <w:kern w:val="0"/>
          <w:sz w:val="24"/>
          <w:szCs w:val="24"/>
        </w:rPr>
        <w:t>蔡昉学部委员作主旨报告</w:t>
      </w:r>
    </w:p>
    <w:p>
      <w:pPr>
        <w:adjustRightInd w:val="0"/>
        <w:snapToGrid w:val="0"/>
        <w:spacing w:line="360" w:lineRule="auto"/>
        <w:ind w:firstLine="600" w:firstLineChars="200"/>
        <w:rPr>
          <w:rFonts w:hint="eastAsia" w:ascii="仿宋" w:hAnsi="仿宋" w:eastAsia="仿宋" w:cs="宋体"/>
          <w:bCs/>
          <w:kern w:val="0"/>
          <w:sz w:val="30"/>
          <w:szCs w:val="30"/>
        </w:rPr>
      </w:pPr>
      <w:r>
        <w:rPr>
          <w:rFonts w:hint="eastAsia" w:ascii="仿宋" w:hAnsi="仿宋" w:eastAsia="仿宋" w:cs="宋体"/>
          <w:bCs/>
          <w:kern w:val="0"/>
          <w:sz w:val="30"/>
          <w:szCs w:val="30"/>
        </w:rPr>
        <w:t>王一鸣研究员以“构建新发展格局和科技自立自强”为题作主旨报告，他围绕中国科技创新面临的新形势和新挑战、科技创新的新要求、科技自立自强的战略和路径等三个方面进行了深度剖析</w:t>
      </w:r>
      <w:r>
        <w:rPr>
          <w:rFonts w:hint="eastAsia" w:ascii="仿宋" w:hAnsi="仿宋" w:eastAsia="仿宋" w:cs="宋体"/>
          <w:bCs/>
          <w:kern w:val="0"/>
          <w:sz w:val="30"/>
          <w:szCs w:val="30"/>
          <w:lang w:val="en-US" w:eastAsia="zh-CN"/>
        </w:rPr>
        <w:t>。</w:t>
      </w:r>
      <w:r>
        <w:rPr>
          <w:rFonts w:hint="eastAsia" w:ascii="仿宋" w:hAnsi="仿宋" w:eastAsia="仿宋" w:cs="宋体"/>
          <w:bCs/>
          <w:kern w:val="0"/>
          <w:sz w:val="30"/>
          <w:szCs w:val="30"/>
        </w:rPr>
        <w:t>中国要加快构建新发展新格局，一方面需要增强原始创新能力，解决中间品过度依赖进口的问题；另一方面要加快科技自立自强，创建自己的关键核心技术。我国科技自立自强的战略和路径主要包括：制定从技术追赶转向构建局部领先优势的创新战略；探索从终端产品创新转向中间品创新的创新路径；实施从集成创新转向原始创新的创新政策。</w:t>
      </w:r>
    </w:p>
    <w:p>
      <w:pPr>
        <w:adjustRightInd w:val="0"/>
        <w:snapToGrid w:val="0"/>
        <w:spacing w:line="360" w:lineRule="auto"/>
        <w:jc w:val="center"/>
        <w:rPr>
          <w:rFonts w:hint="eastAsia" w:ascii="仿宋" w:hAnsi="仿宋" w:eastAsia="仿宋" w:cs="宋体"/>
          <w:sz w:val="30"/>
          <w:szCs w:val="30"/>
          <w:lang w:eastAsia="zh-CN"/>
        </w:rPr>
      </w:pPr>
      <w:r>
        <w:rPr>
          <w:rFonts w:hint="eastAsia" w:ascii="仿宋" w:hAnsi="仿宋" w:eastAsia="仿宋" w:cs="宋体"/>
          <w:sz w:val="30"/>
          <w:szCs w:val="30"/>
          <w:lang w:eastAsia="zh-CN"/>
        </w:rPr>
        <w:drawing>
          <wp:inline distT="0" distB="0" distL="114300" distR="114300">
            <wp:extent cx="5090160" cy="3589020"/>
            <wp:effectExtent l="0" t="0" r="15240" b="11430"/>
            <wp:docPr id="3" name="图片 3" descr="webwxgetmsg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bwxgetmsgimg (1)"/>
                    <pic:cNvPicPr>
                      <a:picLocks noChangeAspect="1"/>
                    </pic:cNvPicPr>
                  </pic:nvPicPr>
                  <pic:blipFill>
                    <a:blip r:embed="rId10"/>
                    <a:stretch>
                      <a:fillRect/>
                    </a:stretch>
                  </pic:blipFill>
                  <pic:spPr>
                    <a:xfrm>
                      <a:off x="0" y="0"/>
                      <a:ext cx="5090160" cy="3589020"/>
                    </a:xfrm>
                    <a:prstGeom prst="rect">
                      <a:avLst/>
                    </a:prstGeom>
                  </pic:spPr>
                </pic:pic>
              </a:graphicData>
            </a:graphic>
          </wp:inline>
        </w:drawing>
      </w:r>
    </w:p>
    <w:p>
      <w:pPr>
        <w:adjustRightInd w:val="0"/>
        <w:snapToGrid w:val="0"/>
        <w:spacing w:line="360" w:lineRule="auto"/>
        <w:jc w:val="center"/>
        <w:rPr>
          <w:rFonts w:hint="eastAsia" w:ascii="黑体" w:hAnsi="黑体" w:eastAsia="黑体" w:cs="黑体"/>
          <w:b w:val="0"/>
          <w:kern w:val="0"/>
          <w:sz w:val="24"/>
          <w:szCs w:val="24"/>
        </w:rPr>
      </w:pPr>
      <w:r>
        <w:rPr>
          <w:rFonts w:hint="eastAsia" w:ascii="黑体" w:hAnsi="黑体" w:eastAsia="黑体" w:cs="黑体"/>
          <w:b w:val="0"/>
          <w:kern w:val="0"/>
          <w:sz w:val="24"/>
          <w:szCs w:val="24"/>
        </w:rPr>
        <w:t>中国国际经济交流中心副理事长王一鸣教授作主旨报告</w:t>
      </w:r>
    </w:p>
    <w:p>
      <w:pPr>
        <w:adjustRightInd w:val="0"/>
        <w:snapToGrid w:val="0"/>
        <w:spacing w:line="360" w:lineRule="auto"/>
        <w:ind w:firstLine="600" w:firstLineChars="200"/>
        <w:rPr>
          <w:rFonts w:hint="eastAsia" w:ascii="仿宋" w:hAnsi="仿宋" w:eastAsia="仿宋" w:cs="宋体"/>
          <w:bCs/>
          <w:kern w:val="0"/>
          <w:sz w:val="30"/>
          <w:szCs w:val="30"/>
        </w:rPr>
      </w:pPr>
    </w:p>
    <w:p>
      <w:pPr>
        <w:adjustRightInd w:val="0"/>
        <w:snapToGrid w:val="0"/>
        <w:spacing w:line="360" w:lineRule="auto"/>
        <w:ind w:firstLine="600" w:firstLineChars="200"/>
        <w:rPr>
          <w:rFonts w:ascii="仿宋" w:hAnsi="仿宋" w:eastAsia="仿宋" w:cs="宋体"/>
          <w:bCs/>
          <w:kern w:val="0"/>
          <w:sz w:val="30"/>
          <w:szCs w:val="30"/>
        </w:rPr>
      </w:pPr>
      <w:r>
        <w:rPr>
          <w:rFonts w:hint="eastAsia" w:ascii="仿宋" w:hAnsi="仿宋" w:eastAsia="仿宋" w:cs="宋体"/>
          <w:bCs/>
          <w:kern w:val="0"/>
          <w:sz w:val="30"/>
          <w:szCs w:val="30"/>
        </w:rPr>
        <w:t>第二单元主旨报告</w:t>
      </w:r>
      <w:r>
        <w:rPr>
          <w:rFonts w:ascii="仿宋" w:hAnsi="仿宋" w:eastAsia="仿宋" w:cs="宋体"/>
          <w:bCs/>
          <w:kern w:val="0"/>
          <w:sz w:val="30"/>
          <w:szCs w:val="30"/>
        </w:rPr>
        <w:t>由</w:t>
      </w:r>
      <w:r>
        <w:rPr>
          <w:rFonts w:hint="eastAsia" w:ascii="仿宋" w:hAnsi="仿宋" w:eastAsia="仿宋" w:cs="宋体"/>
          <w:bCs/>
          <w:kern w:val="0"/>
          <w:sz w:val="30"/>
          <w:szCs w:val="30"/>
        </w:rPr>
        <w:t>南开大学经济与社会发展研究院副院长李兰冰教授</w:t>
      </w:r>
      <w:r>
        <w:rPr>
          <w:rFonts w:ascii="仿宋" w:hAnsi="仿宋" w:eastAsia="仿宋" w:cs="宋体"/>
          <w:bCs/>
          <w:kern w:val="0"/>
          <w:sz w:val="30"/>
          <w:szCs w:val="30"/>
        </w:rPr>
        <w:t>主持</w:t>
      </w:r>
      <w:r>
        <w:rPr>
          <w:rFonts w:hint="eastAsia" w:ascii="仿宋" w:hAnsi="仿宋" w:eastAsia="仿宋" w:cs="宋体"/>
          <w:bCs/>
          <w:kern w:val="0"/>
          <w:sz w:val="30"/>
          <w:szCs w:val="30"/>
        </w:rPr>
        <w:t>。中国社会科学院数量经济与技术经济研究所所长李雪松研究员、中国社会科学院生态文明研究所副所长庄贵阳研究员、南开大学经济与社会发展研究院院长刘秉镰教授分别作主旨报告。</w:t>
      </w:r>
    </w:p>
    <w:p>
      <w:pPr>
        <w:adjustRightInd w:val="0"/>
        <w:snapToGrid w:val="0"/>
        <w:spacing w:line="360" w:lineRule="auto"/>
        <w:ind w:firstLine="600" w:firstLineChars="200"/>
        <w:rPr>
          <w:rFonts w:hint="eastAsia" w:ascii="仿宋" w:hAnsi="仿宋" w:eastAsia="仿宋" w:cs="宋体"/>
          <w:bCs/>
          <w:kern w:val="0"/>
          <w:sz w:val="30"/>
          <w:szCs w:val="30"/>
        </w:rPr>
      </w:pPr>
      <w:r>
        <w:rPr>
          <w:rFonts w:hint="eastAsia" w:ascii="仿宋" w:hAnsi="仿宋" w:eastAsia="仿宋" w:cs="宋体"/>
          <w:bCs/>
          <w:kern w:val="0"/>
          <w:sz w:val="30"/>
          <w:szCs w:val="30"/>
        </w:rPr>
        <w:t>李雪松研究员以“培育发展新动能，推动结构新升级”为题作主旨报告。刚闭幕的中央经济工作会议指出，2</w:t>
      </w:r>
      <w:r>
        <w:rPr>
          <w:rFonts w:ascii="仿宋" w:hAnsi="仿宋" w:eastAsia="仿宋" w:cs="宋体"/>
          <w:bCs/>
          <w:kern w:val="0"/>
          <w:sz w:val="30"/>
          <w:szCs w:val="30"/>
        </w:rPr>
        <w:t>021</w:t>
      </w:r>
      <w:r>
        <w:rPr>
          <w:rFonts w:hint="eastAsia" w:ascii="仿宋" w:hAnsi="仿宋" w:eastAsia="仿宋" w:cs="宋体"/>
          <w:bCs/>
          <w:kern w:val="0"/>
          <w:sz w:val="30"/>
          <w:szCs w:val="30"/>
        </w:rPr>
        <w:t>年我国构建新发展格局迈出新步伐，高质量发展取得新成效，但我国经济发展面临需求收缩、供给冲击、预期转弱三重压力。数字经济、新能源汽车、医药制造等行业在疫情期间得到了爆发式发展，成为产业升级的主要受益行业。为培育发展新动能，推动结构新升级，一要推动供给结构升级，建设现代化产业体系：要加快建设制造强国；着力推动数字经济发展，加大新基建投资；推动绿色低碳产业发展壮大，加快新能源开发；创造条件尽早实现能耗“双控”向碳排放总量和强度“双控”转变，完善绿色低碳政策和市场体系；大力发展生物医药等战略性新兴产业。二要</w:t>
      </w:r>
      <w:r>
        <w:rPr>
          <w:rFonts w:hint="eastAsia" w:ascii="仿宋" w:hAnsi="仿宋" w:eastAsia="仿宋" w:cs="宋体"/>
          <w:kern w:val="0"/>
          <w:sz w:val="30"/>
          <w:szCs w:val="30"/>
        </w:rPr>
        <w:t>推动需求结构升级，建设强大国内市场：</w:t>
      </w:r>
      <w:r>
        <w:rPr>
          <w:rFonts w:hint="eastAsia" w:ascii="仿宋" w:hAnsi="仿宋" w:eastAsia="仿宋" w:cs="宋体"/>
          <w:bCs/>
          <w:kern w:val="0"/>
          <w:sz w:val="30"/>
          <w:szCs w:val="30"/>
        </w:rPr>
        <w:t>要高度重视需求侧管理，推动消费扩容和升级；推动投资结构优化，适度超前进行基础设施建设，聚焦“两新一重”领域扩大有效投资；积极财政政策要加力提效，财政转移支付更多用于促进以人为核心的城镇化。三要推动效率结构升级，提高全要素生产率：促进科技自立自强，强化国家战略科技力量，加强基础研究，加快攻克重要领域“卡脖子”技术，掌握更多“撒手锏”式技术；加快形成市场化、法治化、国际化营商环境，构建更加成熟更加定型的社会主义市场经济体制；推动土地、金融、科技、数据等要素价格由市场决定，理顺煤、电等能源价格机制；以降低金融中介成本为核心，深化金融供给侧结构性改革，打造规范、透明、开放、有活力、有韧性的资本市场；推动对外开放由商品和要素流动型开放向规则等制度型开放转，把自贸区的改革开放措施尽快复制推广到全国实施。</w:t>
      </w:r>
    </w:p>
    <w:p>
      <w:pPr>
        <w:adjustRightInd w:val="0"/>
        <w:snapToGrid w:val="0"/>
        <w:spacing w:line="360" w:lineRule="auto"/>
        <w:ind w:firstLine="480" w:firstLineChars="200"/>
        <w:rPr>
          <w:rFonts w:hint="eastAsia" w:ascii="黑体" w:hAnsi="黑体" w:eastAsia="黑体" w:cs="黑体"/>
          <w:bCs w:val="0"/>
          <w:kern w:val="0"/>
          <w:sz w:val="24"/>
          <w:szCs w:val="24"/>
        </w:rPr>
      </w:pPr>
      <w:r>
        <w:rPr>
          <w:rFonts w:hint="eastAsia" w:ascii="黑体" w:hAnsi="黑体" w:eastAsia="黑体" w:cs="黑体"/>
          <w:bCs w:val="0"/>
          <w:kern w:val="0"/>
          <w:sz w:val="24"/>
          <w:szCs w:val="24"/>
        </w:rPr>
        <w:drawing>
          <wp:inline distT="0" distB="0" distL="0" distR="0">
            <wp:extent cx="5194300" cy="3663950"/>
            <wp:effectExtent l="0" t="0" r="2540" b="8890"/>
            <wp:docPr id="10" name="图片 10" descr="0be477223f2bb5c8849295b7597b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be477223f2bb5c8849295b7597b1334"/>
                    <pic:cNvPicPr>
                      <a:picLocks noChangeAspect="1" noChangeArrowheads="1"/>
                    </pic:cNvPicPr>
                  </pic:nvPicPr>
                  <pic:blipFill>
                    <a:blip r:embed="rId11" cstate="print">
                      <a:extLst>
                        <a:ext uri="{28A0092B-C50C-407E-A947-70E740481C1C}">
                          <a14:useLocalDpi xmlns:a14="http://schemas.microsoft.com/office/drawing/2010/main" val="0"/>
                        </a:ext>
                      </a:extLst>
                    </a:blip>
                    <a:srcRect r="23872"/>
                    <a:stretch>
                      <a:fillRect/>
                    </a:stretch>
                  </pic:blipFill>
                  <pic:spPr>
                    <a:xfrm>
                      <a:off x="0" y="0"/>
                      <a:ext cx="5194300" cy="3663950"/>
                    </a:xfrm>
                    <a:prstGeom prst="rect">
                      <a:avLst/>
                    </a:prstGeom>
                    <a:noFill/>
                    <a:ln>
                      <a:noFill/>
                    </a:ln>
                  </pic:spPr>
                </pic:pic>
              </a:graphicData>
            </a:graphic>
          </wp:inline>
        </w:drawing>
      </w:r>
    </w:p>
    <w:p>
      <w:pPr>
        <w:adjustRightInd w:val="0"/>
        <w:snapToGrid w:val="0"/>
        <w:spacing w:line="360" w:lineRule="auto"/>
        <w:ind w:firstLine="0" w:firstLineChars="0"/>
        <w:jc w:val="center"/>
        <w:rPr>
          <w:rFonts w:hint="eastAsia" w:ascii="黑体" w:hAnsi="黑体" w:eastAsia="黑体" w:cs="黑体"/>
          <w:bCs w:val="0"/>
          <w:kern w:val="0"/>
          <w:sz w:val="24"/>
          <w:szCs w:val="24"/>
        </w:rPr>
      </w:pPr>
      <w:r>
        <w:rPr>
          <w:rFonts w:hint="eastAsia" w:ascii="黑体" w:hAnsi="黑体" w:eastAsia="黑体" w:cs="黑体"/>
          <w:bCs w:val="0"/>
          <w:kern w:val="0"/>
          <w:sz w:val="24"/>
          <w:szCs w:val="24"/>
        </w:rPr>
        <w:t>中国社会科学院数量经济与技术经济研究所所长李雪松研究员作主旨报告</w:t>
      </w:r>
    </w:p>
    <w:p>
      <w:pPr>
        <w:adjustRightInd w:val="0"/>
        <w:snapToGrid w:val="0"/>
        <w:spacing w:line="360" w:lineRule="auto"/>
        <w:ind w:firstLine="600" w:firstLineChars="200"/>
        <w:rPr>
          <w:rFonts w:hint="eastAsia" w:ascii="仿宋" w:hAnsi="仿宋" w:eastAsia="仿宋" w:cs="宋体"/>
          <w:bCs/>
          <w:kern w:val="0"/>
          <w:sz w:val="30"/>
          <w:szCs w:val="30"/>
        </w:rPr>
      </w:pPr>
    </w:p>
    <w:p>
      <w:pPr>
        <w:adjustRightInd w:val="0"/>
        <w:snapToGrid w:val="0"/>
        <w:spacing w:line="360" w:lineRule="auto"/>
        <w:ind w:firstLine="600" w:firstLineChars="200"/>
        <w:rPr>
          <w:rFonts w:hint="eastAsia" w:ascii="仿宋" w:hAnsi="仿宋" w:eastAsia="仿宋" w:cs="宋体"/>
          <w:bCs/>
          <w:kern w:val="0"/>
          <w:sz w:val="30"/>
          <w:szCs w:val="30"/>
        </w:rPr>
      </w:pPr>
      <w:r>
        <w:rPr>
          <w:rFonts w:hint="eastAsia" w:ascii="仿宋" w:hAnsi="仿宋" w:eastAsia="仿宋" w:cs="宋体"/>
          <w:bCs/>
          <w:kern w:val="0"/>
          <w:sz w:val="30"/>
          <w:szCs w:val="30"/>
        </w:rPr>
        <w:t>庄贵阳研究员以“碳达峰碳中和”为题作主旨报告。他首先剖析了“碳达峰碳中和”的概念和政策内涵，中国一贯坚持人类命运共同体的理念，积极承担与中国发展水平相称的国际责任。其次，他分析了碳中和目标下社会经济如何转型以及实现“双碳”目标中国面临的四个挑战：一是工业化城镇化进程尚未完成；二是煤炭煤电的转型问题，我国是以煤炭为主的能源结构，石油和天然气储量都比较少，对外依存度较高；三是可再生能源如果要成为电力系统的主体，还需要解决一些技术和机制方面的问题；四是深度脱碳技术成本高，而且还不够成熟。最后，他对如何积极落实2030年前碳达峰行动方案提出了建议，必要条件是具备颠覆性技术，仅依靠改进型的技术创新是不足够的，充分条件是通过全社会的系统性变革来压缩刚性需求，通过社会治理放大资产效用，提升社会治理水平。</w:t>
      </w:r>
    </w:p>
    <w:p>
      <w:pPr>
        <w:adjustRightInd w:val="0"/>
        <w:snapToGrid w:val="0"/>
        <w:spacing w:line="360" w:lineRule="auto"/>
        <w:jc w:val="center"/>
        <w:rPr>
          <w:rFonts w:ascii="仿宋" w:hAnsi="仿宋" w:eastAsia="仿宋" w:cs="宋体"/>
          <w:sz w:val="30"/>
          <w:szCs w:val="30"/>
        </w:rPr>
      </w:pPr>
      <w:r>
        <w:rPr>
          <w:rFonts w:hint="eastAsia" w:ascii="仿宋" w:hAnsi="仿宋" w:eastAsia="仿宋" w:cs="宋体"/>
          <w:sz w:val="30"/>
          <w:szCs w:val="30"/>
        </w:rPr>
        <w:drawing>
          <wp:inline distT="0" distB="0" distL="0" distR="0">
            <wp:extent cx="5111750" cy="3606800"/>
            <wp:effectExtent l="0" t="0" r="8890" b="5080"/>
            <wp:docPr id="15" name="图片 15" descr="872ae435d26e23a16d9ca48ae2f2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72ae435d26e23a16d9ca48ae2f24178"/>
                    <pic:cNvPicPr>
                      <a:picLocks noChangeAspect="1" noChangeArrowheads="1"/>
                    </pic:cNvPicPr>
                  </pic:nvPicPr>
                  <pic:blipFill>
                    <a:blip r:embed="rId12" cstate="print">
                      <a:extLst>
                        <a:ext uri="{28A0092B-C50C-407E-A947-70E740481C1C}">
                          <a14:useLocalDpi xmlns:a14="http://schemas.microsoft.com/office/drawing/2010/main" val="0"/>
                        </a:ext>
                      </a:extLst>
                    </a:blip>
                    <a:srcRect r="23872"/>
                    <a:stretch>
                      <a:fillRect/>
                    </a:stretch>
                  </pic:blipFill>
                  <pic:spPr>
                    <a:xfrm>
                      <a:off x="0" y="0"/>
                      <a:ext cx="5111750" cy="3606800"/>
                    </a:xfrm>
                    <a:prstGeom prst="rect">
                      <a:avLst/>
                    </a:prstGeom>
                    <a:noFill/>
                    <a:ln>
                      <a:noFill/>
                    </a:ln>
                  </pic:spPr>
                </pic:pic>
              </a:graphicData>
            </a:graphic>
          </wp:inline>
        </w:drawing>
      </w:r>
    </w:p>
    <w:p>
      <w:pPr>
        <w:adjustRightInd w:val="0"/>
        <w:snapToGrid w:val="0"/>
        <w:spacing w:line="360" w:lineRule="auto"/>
        <w:ind w:firstLine="480" w:firstLineChars="200"/>
        <w:jc w:val="center"/>
        <w:rPr>
          <w:rFonts w:hint="eastAsia" w:ascii="黑体" w:hAnsi="黑体" w:eastAsia="黑体" w:cs="黑体"/>
          <w:bCs w:val="0"/>
          <w:kern w:val="0"/>
          <w:sz w:val="24"/>
          <w:szCs w:val="24"/>
        </w:rPr>
      </w:pPr>
      <w:r>
        <w:rPr>
          <w:rFonts w:hint="eastAsia" w:ascii="黑体" w:hAnsi="黑体" w:eastAsia="黑体" w:cs="黑体"/>
          <w:bCs w:val="0"/>
          <w:kern w:val="0"/>
          <w:sz w:val="24"/>
          <w:szCs w:val="24"/>
        </w:rPr>
        <w:t>中国社会科学院生态文明研究所副所长庄贵阳研究员作主旨报告</w:t>
      </w:r>
    </w:p>
    <w:p>
      <w:pPr>
        <w:adjustRightInd w:val="0"/>
        <w:snapToGrid w:val="0"/>
        <w:spacing w:line="360" w:lineRule="auto"/>
        <w:ind w:firstLine="600" w:firstLineChars="200"/>
        <w:rPr>
          <w:rFonts w:hint="eastAsia" w:ascii="仿宋" w:hAnsi="仿宋" w:eastAsia="仿宋" w:cs="宋体"/>
          <w:bCs/>
          <w:kern w:val="0"/>
          <w:sz w:val="30"/>
          <w:szCs w:val="30"/>
        </w:rPr>
      </w:pPr>
    </w:p>
    <w:p>
      <w:pPr>
        <w:adjustRightInd w:val="0"/>
        <w:snapToGrid w:val="0"/>
        <w:spacing w:line="360" w:lineRule="auto"/>
        <w:ind w:firstLine="600" w:firstLineChars="200"/>
        <w:rPr>
          <w:rFonts w:ascii="仿宋" w:hAnsi="仿宋" w:eastAsia="仿宋"/>
          <w:sz w:val="30"/>
          <w:szCs w:val="30"/>
        </w:rPr>
      </w:pPr>
      <w:r>
        <w:rPr>
          <w:rFonts w:hint="eastAsia" w:ascii="仿宋" w:hAnsi="仿宋" w:eastAsia="仿宋" w:cs="宋体"/>
          <w:bCs/>
          <w:kern w:val="0"/>
          <w:sz w:val="30"/>
          <w:szCs w:val="30"/>
        </w:rPr>
        <w:t>刘秉镰教授以“区域经济与区域政策”为题作主旨报告。他</w:t>
      </w:r>
      <w:r>
        <w:rPr>
          <w:rFonts w:ascii="仿宋" w:hAnsi="仿宋" w:eastAsia="仿宋"/>
          <w:sz w:val="30"/>
          <w:szCs w:val="30"/>
        </w:rPr>
        <w:t>首先</w:t>
      </w:r>
      <w:r>
        <w:rPr>
          <w:rFonts w:hint="eastAsia" w:ascii="仿宋" w:hAnsi="仿宋" w:eastAsia="仿宋"/>
          <w:sz w:val="30"/>
          <w:szCs w:val="30"/>
        </w:rPr>
        <w:t>强调了区域经济与国家发展两者间的密切关系，</w:t>
      </w:r>
      <w:r>
        <w:rPr>
          <w:rFonts w:ascii="仿宋" w:hAnsi="仿宋" w:eastAsia="仿宋"/>
          <w:sz w:val="30"/>
          <w:szCs w:val="30"/>
        </w:rPr>
        <w:t>从两个百年目标、新发展格局和双碳目标三方面解读了高质量发展</w:t>
      </w:r>
      <w:r>
        <w:rPr>
          <w:rFonts w:hint="eastAsia" w:ascii="仿宋" w:hAnsi="仿宋" w:eastAsia="仿宋"/>
          <w:sz w:val="30"/>
          <w:szCs w:val="30"/>
        </w:rPr>
        <w:t>的内涵</w:t>
      </w:r>
      <w:r>
        <w:rPr>
          <w:rFonts w:ascii="仿宋" w:hAnsi="仿宋" w:eastAsia="仿宋"/>
          <w:sz w:val="30"/>
          <w:szCs w:val="30"/>
        </w:rPr>
        <w:t>，区域经济是实现我国高质量发展的空间载体与重要支撑</w:t>
      </w:r>
      <w:r>
        <w:rPr>
          <w:rFonts w:hint="eastAsia" w:ascii="仿宋" w:hAnsi="仿宋" w:eastAsia="仿宋"/>
          <w:sz w:val="30"/>
          <w:szCs w:val="30"/>
        </w:rPr>
        <w:t>，但是在我国城镇化和区域经济发展过程中，目前出现了</w:t>
      </w:r>
      <w:r>
        <w:rPr>
          <w:rFonts w:ascii="仿宋" w:hAnsi="仿宋" w:eastAsia="仿宋"/>
          <w:sz w:val="30"/>
          <w:szCs w:val="30"/>
        </w:rPr>
        <w:t>四个</w:t>
      </w:r>
      <w:r>
        <w:rPr>
          <w:rFonts w:hint="eastAsia" w:ascii="仿宋" w:hAnsi="仿宋" w:eastAsia="仿宋"/>
          <w:sz w:val="30"/>
          <w:szCs w:val="30"/>
        </w:rPr>
        <w:t>值得关注的</w:t>
      </w:r>
      <w:r>
        <w:rPr>
          <w:rFonts w:ascii="仿宋" w:hAnsi="仿宋" w:eastAsia="仿宋"/>
          <w:sz w:val="30"/>
          <w:szCs w:val="30"/>
        </w:rPr>
        <w:t>问题</w:t>
      </w:r>
      <w:r>
        <w:rPr>
          <w:rFonts w:hint="eastAsia" w:ascii="仿宋" w:hAnsi="仿宋" w:eastAsia="仿宋"/>
          <w:sz w:val="30"/>
          <w:szCs w:val="30"/>
        </w:rPr>
        <w:t>和现象</w:t>
      </w:r>
      <w:r>
        <w:rPr>
          <w:rFonts w:ascii="仿宋" w:hAnsi="仿宋" w:eastAsia="仿宋"/>
          <w:sz w:val="30"/>
          <w:szCs w:val="30"/>
        </w:rPr>
        <w:t>：一</w:t>
      </w:r>
      <w:r>
        <w:rPr>
          <w:rFonts w:hint="eastAsia" w:ascii="仿宋" w:hAnsi="仿宋" w:eastAsia="仿宋"/>
          <w:sz w:val="30"/>
          <w:szCs w:val="30"/>
        </w:rPr>
        <w:t>是</w:t>
      </w:r>
      <w:r>
        <w:rPr>
          <w:rFonts w:ascii="仿宋" w:hAnsi="仿宋" w:eastAsia="仿宋"/>
          <w:sz w:val="30"/>
          <w:szCs w:val="30"/>
        </w:rPr>
        <w:t>伴随我国经济增长和社会财富积累，地区差距、城乡差距与收入差距等深层次矛盾凸显；二</w:t>
      </w:r>
      <w:r>
        <w:rPr>
          <w:rFonts w:hint="eastAsia" w:ascii="仿宋" w:hAnsi="仿宋" w:eastAsia="仿宋"/>
          <w:sz w:val="30"/>
          <w:szCs w:val="30"/>
        </w:rPr>
        <w:t>是</w:t>
      </w:r>
      <w:r>
        <w:rPr>
          <w:rFonts w:ascii="仿宋" w:hAnsi="仿宋" w:eastAsia="仿宋"/>
          <w:sz w:val="30"/>
          <w:szCs w:val="30"/>
        </w:rPr>
        <w:t>城镇化增长奇迹背后也</w:t>
      </w:r>
      <w:r>
        <w:rPr>
          <w:rFonts w:hint="eastAsia" w:ascii="仿宋" w:hAnsi="仿宋" w:eastAsia="仿宋"/>
          <w:sz w:val="30"/>
          <w:szCs w:val="30"/>
        </w:rPr>
        <w:t>面临诸多问题；三是传统区域及城市经济增长方式难以为继，区域转型压力巨大，迫切需要寻找新动力和新动能；四是新技术改变了空间范围和空间形态。其次，他分析了中国区域政策演进的四个阶段及其相关学术研究，并强调中国的区域经济发展不仅是国内顶级或权威期刊关注的选题，也是国际期刊的热点选题。最后，他指出了区域经济学研究目前呈现出的五个新趋势</w:t>
      </w:r>
      <w:r>
        <w:rPr>
          <w:rFonts w:ascii="仿宋" w:hAnsi="仿宋" w:eastAsia="仿宋"/>
          <w:sz w:val="30"/>
          <w:szCs w:val="30"/>
        </w:rPr>
        <w:t>：一</w:t>
      </w:r>
      <w:r>
        <w:rPr>
          <w:rFonts w:hint="eastAsia" w:ascii="仿宋" w:hAnsi="仿宋" w:eastAsia="仿宋"/>
          <w:sz w:val="30"/>
          <w:szCs w:val="30"/>
        </w:rPr>
        <w:t>是</w:t>
      </w:r>
      <w:r>
        <w:rPr>
          <w:rFonts w:ascii="仿宋" w:hAnsi="仿宋" w:eastAsia="仿宋"/>
          <w:sz w:val="30"/>
          <w:szCs w:val="30"/>
        </w:rPr>
        <w:t>区域经济学与经济学其他学科的融合；二</w:t>
      </w:r>
      <w:r>
        <w:rPr>
          <w:rFonts w:hint="eastAsia" w:ascii="仿宋" w:hAnsi="仿宋" w:eastAsia="仿宋"/>
          <w:sz w:val="30"/>
          <w:szCs w:val="30"/>
        </w:rPr>
        <w:t>是</w:t>
      </w:r>
      <w:r>
        <w:rPr>
          <w:rFonts w:ascii="仿宋" w:hAnsi="仿宋" w:eastAsia="仿宋"/>
          <w:sz w:val="30"/>
          <w:szCs w:val="30"/>
        </w:rPr>
        <w:t>区域经济学与新技术新方法之间的交叉应用；三</w:t>
      </w:r>
      <w:r>
        <w:rPr>
          <w:rFonts w:hint="eastAsia" w:ascii="仿宋" w:hAnsi="仿宋" w:eastAsia="仿宋"/>
          <w:sz w:val="30"/>
          <w:szCs w:val="30"/>
        </w:rPr>
        <w:t>是</w:t>
      </w:r>
      <w:r>
        <w:rPr>
          <w:rFonts w:ascii="仿宋" w:hAnsi="仿宋" w:eastAsia="仿宋"/>
          <w:sz w:val="30"/>
          <w:szCs w:val="30"/>
        </w:rPr>
        <w:t>区域经济学研究的“问题导向”日趋明显；四</w:t>
      </w:r>
      <w:r>
        <w:rPr>
          <w:rFonts w:hint="eastAsia" w:ascii="仿宋" w:hAnsi="仿宋" w:eastAsia="仿宋"/>
          <w:sz w:val="30"/>
          <w:szCs w:val="30"/>
        </w:rPr>
        <w:t>是</w:t>
      </w:r>
      <w:r>
        <w:rPr>
          <w:rFonts w:ascii="仿宋" w:hAnsi="仿宋" w:eastAsia="仿宋"/>
          <w:sz w:val="30"/>
          <w:szCs w:val="30"/>
        </w:rPr>
        <w:t>区域经济研究的创新与中国化；</w:t>
      </w:r>
      <w:r>
        <w:rPr>
          <w:rFonts w:hint="eastAsia" w:ascii="仿宋" w:hAnsi="仿宋" w:eastAsia="仿宋"/>
          <w:sz w:val="30"/>
          <w:szCs w:val="30"/>
        </w:rPr>
        <w:t>五是城市化与区域发展衍生的区域经济理论研究日趋活跃。</w:t>
      </w:r>
    </w:p>
    <w:p>
      <w:pPr>
        <w:adjustRightInd w:val="0"/>
        <w:snapToGrid w:val="0"/>
        <w:spacing w:line="360" w:lineRule="auto"/>
        <w:jc w:val="center"/>
        <w:rPr>
          <w:rFonts w:ascii="仿宋" w:hAnsi="仿宋" w:eastAsia="仿宋"/>
          <w:sz w:val="30"/>
          <w:szCs w:val="30"/>
        </w:rPr>
      </w:pPr>
      <w:r>
        <w:drawing>
          <wp:inline distT="0" distB="0" distL="114300" distR="114300">
            <wp:extent cx="5128260" cy="3611880"/>
            <wp:effectExtent l="0" t="0" r="762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3"/>
                    <a:stretch>
                      <a:fillRect/>
                    </a:stretch>
                  </pic:blipFill>
                  <pic:spPr>
                    <a:xfrm>
                      <a:off x="0" y="0"/>
                      <a:ext cx="5128260" cy="3611880"/>
                    </a:xfrm>
                    <a:prstGeom prst="rect">
                      <a:avLst/>
                    </a:prstGeom>
                    <a:noFill/>
                    <a:ln>
                      <a:noFill/>
                    </a:ln>
                  </pic:spPr>
                </pic:pic>
              </a:graphicData>
            </a:graphic>
          </wp:inline>
        </w:drawing>
      </w:r>
    </w:p>
    <w:p>
      <w:pPr>
        <w:adjustRightInd w:val="0"/>
        <w:snapToGrid w:val="0"/>
        <w:spacing w:line="360" w:lineRule="auto"/>
        <w:ind w:firstLine="480" w:firstLineChars="200"/>
        <w:jc w:val="center"/>
        <w:rPr>
          <w:rFonts w:hint="eastAsia" w:ascii="黑体" w:hAnsi="黑体" w:eastAsia="黑体" w:cs="黑体"/>
          <w:bCs w:val="0"/>
          <w:kern w:val="0"/>
          <w:sz w:val="24"/>
          <w:szCs w:val="24"/>
        </w:rPr>
      </w:pPr>
      <w:r>
        <w:rPr>
          <w:rFonts w:hint="eastAsia" w:ascii="黑体" w:hAnsi="黑体" w:eastAsia="黑体" w:cs="黑体"/>
          <w:bCs w:val="0"/>
          <w:kern w:val="0"/>
          <w:sz w:val="24"/>
          <w:szCs w:val="24"/>
        </w:rPr>
        <w:t>南开大学经济与社会发展研究院院长刘秉镰教授作主旨报告</w:t>
      </w:r>
    </w:p>
    <w:p>
      <w:pPr>
        <w:adjustRightInd w:val="0"/>
        <w:snapToGrid w:val="0"/>
        <w:spacing w:line="360" w:lineRule="auto"/>
        <w:ind w:firstLine="600" w:firstLineChars="200"/>
        <w:rPr>
          <w:rFonts w:ascii="仿宋" w:hAnsi="仿宋" w:eastAsia="仿宋" w:cs="宋体"/>
          <w:bCs/>
          <w:kern w:val="0"/>
          <w:sz w:val="30"/>
          <w:szCs w:val="30"/>
        </w:rPr>
      </w:pPr>
      <w:r>
        <w:rPr>
          <w:rFonts w:hint="eastAsia" w:ascii="仿宋" w:hAnsi="仿宋" w:eastAsia="仿宋" w:cs="宋体"/>
          <w:bCs/>
          <w:kern w:val="0"/>
          <w:sz w:val="30"/>
          <w:szCs w:val="30"/>
        </w:rPr>
        <w:t>下午的平行论坛分八组进行，主题分别为经济增长、经济政策、财税金融、产业区域、科技创新、数字经济、绿色低碳、共同富裕。本次论坛共收到论文1</w:t>
      </w:r>
      <w:r>
        <w:rPr>
          <w:rFonts w:ascii="仿宋" w:hAnsi="仿宋" w:eastAsia="仿宋" w:cs="宋体"/>
          <w:bCs/>
          <w:kern w:val="0"/>
          <w:sz w:val="30"/>
          <w:szCs w:val="30"/>
        </w:rPr>
        <w:t>56</w:t>
      </w:r>
      <w:r>
        <w:rPr>
          <w:rFonts w:hint="eastAsia" w:ascii="仿宋" w:hAnsi="仿宋" w:eastAsia="仿宋" w:cs="宋体"/>
          <w:bCs/>
          <w:kern w:val="0"/>
          <w:sz w:val="30"/>
          <w:szCs w:val="30"/>
        </w:rPr>
        <w:t>篇，经过专家遴选，52篇高质量论文的作者在8个分论坛分别进行了深入宣讲，8位分论坛主持人和各位点评专家对宣讲论文逐一进行了精彩点评。</w:t>
      </w:r>
    </w:p>
    <w:p>
      <w:pPr>
        <w:adjustRightInd w:val="0"/>
        <w:snapToGrid w:val="0"/>
        <w:spacing w:line="360" w:lineRule="auto"/>
        <w:ind w:firstLine="600" w:firstLineChars="200"/>
        <w:rPr>
          <w:rFonts w:hint="eastAsia" w:ascii="仿宋" w:hAnsi="仿宋" w:eastAsia="仿宋" w:cs="宋体"/>
          <w:bCs/>
          <w:kern w:val="0"/>
          <w:sz w:val="30"/>
          <w:szCs w:val="30"/>
        </w:rPr>
      </w:pPr>
      <w:bookmarkStart w:id="0" w:name="_GoBack"/>
      <w:bookmarkEnd w:id="0"/>
      <w:r>
        <w:rPr>
          <w:rFonts w:hint="eastAsia" w:ascii="仿宋" w:hAnsi="仿宋" w:eastAsia="仿宋" w:cs="宋体"/>
          <w:bCs/>
          <w:kern w:val="0"/>
          <w:sz w:val="30"/>
          <w:szCs w:val="30"/>
        </w:rPr>
        <w:t>来自中国社会科学院、南开大学、北京大学、清华大学、北京师范大学、中山大学、西安交通大学、中南财经政法大学、中央民族大学、对外经济贸易大学等国内知名高校、科研院所的</w:t>
      </w:r>
      <w:r>
        <w:rPr>
          <w:rFonts w:hint="eastAsia" w:ascii="仿宋" w:hAnsi="仿宋" w:eastAsia="仿宋" w:cs="宋体"/>
          <w:bCs/>
          <w:kern w:val="0"/>
          <w:sz w:val="30"/>
          <w:szCs w:val="30"/>
          <w:lang w:val="en-US" w:eastAsia="zh-CN"/>
        </w:rPr>
        <w:t>一</w:t>
      </w:r>
      <w:r>
        <w:rPr>
          <w:rFonts w:hint="eastAsia" w:ascii="仿宋" w:hAnsi="仿宋" w:eastAsia="仿宋" w:cs="宋体"/>
          <w:bCs/>
          <w:kern w:val="0"/>
          <w:sz w:val="30"/>
          <w:szCs w:val="30"/>
        </w:rPr>
        <w:t>千多名专家、博士后以及青年学者通过线下或线上参加了论坛。大家纷纷表示，此次论坛学术氛围浓郁，内容丰富翔实，会场活跃有序，讨论积极深刻，点评专业严谨，参加此次论坛收获颇丰。</w:t>
      </w:r>
    </w:p>
    <w:p>
      <w:pPr>
        <w:adjustRightInd w:val="0"/>
        <w:snapToGrid w:val="0"/>
        <w:spacing w:line="360" w:lineRule="auto"/>
        <w:jc w:val="center"/>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4827270" cy="8569325"/>
            <wp:effectExtent l="0" t="0" r="11430" b="3175"/>
            <wp:docPr id="1" name="图片 1"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bwxgetmsgimg"/>
                    <pic:cNvPicPr>
                      <a:picLocks noChangeAspect="1"/>
                    </pic:cNvPicPr>
                  </pic:nvPicPr>
                  <pic:blipFill>
                    <a:blip r:embed="rId14"/>
                    <a:stretch>
                      <a:fillRect/>
                    </a:stretch>
                  </pic:blipFill>
                  <pic:spPr>
                    <a:xfrm>
                      <a:off x="0" y="0"/>
                      <a:ext cx="4827270" cy="8569325"/>
                    </a:xfrm>
                    <a:prstGeom prst="rect">
                      <a:avLst/>
                    </a:prstGeom>
                  </pic:spPr>
                </pic:pic>
              </a:graphicData>
            </a:graphic>
          </wp:inline>
        </w:drawing>
      </w:r>
    </w:p>
    <w:p>
      <w:pPr>
        <w:adjustRightInd w:val="0"/>
        <w:snapToGrid w:val="0"/>
        <w:spacing w:line="360" w:lineRule="auto"/>
        <w:ind w:firstLine="0" w:firstLineChars="0"/>
        <w:jc w:val="center"/>
        <w:rPr>
          <w:rFonts w:ascii="仿宋" w:hAnsi="仿宋" w:eastAsia="仿宋" w:cs="宋体"/>
          <w:bCs/>
          <w:kern w:val="0"/>
          <w:sz w:val="30"/>
          <w:szCs w:val="30"/>
        </w:rPr>
      </w:pPr>
      <w:r>
        <w:rPr>
          <w:rFonts w:hint="eastAsia" w:ascii="黑体" w:hAnsi="黑体" w:eastAsia="黑体" w:cs="黑体"/>
          <w:b w:val="0"/>
          <w:kern w:val="0"/>
          <w:sz w:val="24"/>
          <w:szCs w:val="24"/>
          <w:lang w:eastAsia="zh-CN"/>
        </w:rPr>
        <w:t>参会人员</w:t>
      </w:r>
      <w:r>
        <w:rPr>
          <w:rFonts w:hint="eastAsia" w:ascii="黑体" w:hAnsi="黑体" w:eastAsia="黑体" w:cs="黑体"/>
          <w:b w:val="0"/>
          <w:kern w:val="0"/>
          <w:sz w:val="24"/>
          <w:szCs w:val="24"/>
        </w:rPr>
        <w:t>线上合影</w:t>
      </w:r>
    </w:p>
    <w:p>
      <w:pPr>
        <w:adjustRightInd w:val="0"/>
        <w:snapToGrid w:val="0"/>
        <w:spacing w:line="360" w:lineRule="auto"/>
        <w:jc w:val="center"/>
        <w:rPr>
          <w:rFonts w:hint="eastAsia" w:ascii="仿宋" w:hAnsi="仿宋" w:eastAsia="仿宋"/>
          <w:sz w:val="30"/>
          <w:szCs w:val="30"/>
          <w:lang w:eastAsia="zh-CN"/>
        </w:rPr>
      </w:pPr>
    </w:p>
    <w:sectPr>
      <w:pgSz w:w="11906" w:h="16838"/>
      <w:pgMar w:top="850" w:right="1587" w:bottom="85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106559"/>
    <w:rsid w:val="00026FFA"/>
    <w:rsid w:val="00027F8A"/>
    <w:rsid w:val="00040E62"/>
    <w:rsid w:val="000655F5"/>
    <w:rsid w:val="00066190"/>
    <w:rsid w:val="000944F0"/>
    <w:rsid w:val="000A6270"/>
    <w:rsid w:val="00134ABC"/>
    <w:rsid w:val="00137C5D"/>
    <w:rsid w:val="00146EED"/>
    <w:rsid w:val="00151C65"/>
    <w:rsid w:val="00155C35"/>
    <w:rsid w:val="00186527"/>
    <w:rsid w:val="001C08CC"/>
    <w:rsid w:val="001E2745"/>
    <w:rsid w:val="00206318"/>
    <w:rsid w:val="0023522C"/>
    <w:rsid w:val="00243F87"/>
    <w:rsid w:val="00262746"/>
    <w:rsid w:val="002A7484"/>
    <w:rsid w:val="002B4517"/>
    <w:rsid w:val="002B648F"/>
    <w:rsid w:val="00324905"/>
    <w:rsid w:val="00390DBF"/>
    <w:rsid w:val="0039399D"/>
    <w:rsid w:val="003F1267"/>
    <w:rsid w:val="00442326"/>
    <w:rsid w:val="00456DB3"/>
    <w:rsid w:val="004A69B6"/>
    <w:rsid w:val="004B2887"/>
    <w:rsid w:val="004C23DC"/>
    <w:rsid w:val="004F0CC8"/>
    <w:rsid w:val="00510CDE"/>
    <w:rsid w:val="00532341"/>
    <w:rsid w:val="005639FC"/>
    <w:rsid w:val="00595134"/>
    <w:rsid w:val="005A2EE8"/>
    <w:rsid w:val="005F1217"/>
    <w:rsid w:val="005F24AE"/>
    <w:rsid w:val="00617DF0"/>
    <w:rsid w:val="006C4E65"/>
    <w:rsid w:val="006E50B6"/>
    <w:rsid w:val="0071233A"/>
    <w:rsid w:val="00756DCA"/>
    <w:rsid w:val="0079087F"/>
    <w:rsid w:val="007B46D9"/>
    <w:rsid w:val="007B79A0"/>
    <w:rsid w:val="00841F8E"/>
    <w:rsid w:val="008C1549"/>
    <w:rsid w:val="008D6F58"/>
    <w:rsid w:val="00927DD7"/>
    <w:rsid w:val="009560B6"/>
    <w:rsid w:val="0096509F"/>
    <w:rsid w:val="00965FAF"/>
    <w:rsid w:val="009C5542"/>
    <w:rsid w:val="009E1E7C"/>
    <w:rsid w:val="00A02B1A"/>
    <w:rsid w:val="00A06BC8"/>
    <w:rsid w:val="00A22C1A"/>
    <w:rsid w:val="00A365D4"/>
    <w:rsid w:val="00A52BF9"/>
    <w:rsid w:val="00A546C6"/>
    <w:rsid w:val="00A820E2"/>
    <w:rsid w:val="00A92667"/>
    <w:rsid w:val="00AA57EE"/>
    <w:rsid w:val="00AB4212"/>
    <w:rsid w:val="00AC6DE8"/>
    <w:rsid w:val="00AF125C"/>
    <w:rsid w:val="00AF6A42"/>
    <w:rsid w:val="00B17C96"/>
    <w:rsid w:val="00B41405"/>
    <w:rsid w:val="00B46A0C"/>
    <w:rsid w:val="00B47826"/>
    <w:rsid w:val="00B52D82"/>
    <w:rsid w:val="00BC2B79"/>
    <w:rsid w:val="00C106F2"/>
    <w:rsid w:val="00C64E04"/>
    <w:rsid w:val="00C737FB"/>
    <w:rsid w:val="00C854D8"/>
    <w:rsid w:val="00D43440"/>
    <w:rsid w:val="00D45DC4"/>
    <w:rsid w:val="00D72C2E"/>
    <w:rsid w:val="00D73D0D"/>
    <w:rsid w:val="00D92AB2"/>
    <w:rsid w:val="00D93C3D"/>
    <w:rsid w:val="00DB619E"/>
    <w:rsid w:val="00DB7B6C"/>
    <w:rsid w:val="00DD193E"/>
    <w:rsid w:val="00DD260E"/>
    <w:rsid w:val="00DE0FA5"/>
    <w:rsid w:val="00DF4BB4"/>
    <w:rsid w:val="00E052B3"/>
    <w:rsid w:val="00E20C55"/>
    <w:rsid w:val="00E45D19"/>
    <w:rsid w:val="00EC419E"/>
    <w:rsid w:val="00ED0ACE"/>
    <w:rsid w:val="00EE33AC"/>
    <w:rsid w:val="00EF32B4"/>
    <w:rsid w:val="00EF4C0D"/>
    <w:rsid w:val="00F416F2"/>
    <w:rsid w:val="00F47239"/>
    <w:rsid w:val="00FA623F"/>
    <w:rsid w:val="00FB7C50"/>
    <w:rsid w:val="00FC18C7"/>
    <w:rsid w:val="00FD170A"/>
    <w:rsid w:val="00FF7FE5"/>
    <w:rsid w:val="02511D82"/>
    <w:rsid w:val="02C95B16"/>
    <w:rsid w:val="031E5911"/>
    <w:rsid w:val="03A327AE"/>
    <w:rsid w:val="03FE72B0"/>
    <w:rsid w:val="055174B6"/>
    <w:rsid w:val="064B0ACC"/>
    <w:rsid w:val="06E257E4"/>
    <w:rsid w:val="07384923"/>
    <w:rsid w:val="07D526BD"/>
    <w:rsid w:val="08BD07AC"/>
    <w:rsid w:val="09B0775A"/>
    <w:rsid w:val="0AEC4324"/>
    <w:rsid w:val="0B88307E"/>
    <w:rsid w:val="0C6671BD"/>
    <w:rsid w:val="0D0E43D2"/>
    <w:rsid w:val="0DA75AF5"/>
    <w:rsid w:val="0E1A3602"/>
    <w:rsid w:val="0E5513F1"/>
    <w:rsid w:val="0F6B3707"/>
    <w:rsid w:val="1007577E"/>
    <w:rsid w:val="10656949"/>
    <w:rsid w:val="10C013E6"/>
    <w:rsid w:val="10FC1948"/>
    <w:rsid w:val="11DE17F0"/>
    <w:rsid w:val="133F65BE"/>
    <w:rsid w:val="136C426B"/>
    <w:rsid w:val="143A27D8"/>
    <w:rsid w:val="153F2F16"/>
    <w:rsid w:val="15855AFC"/>
    <w:rsid w:val="158A1905"/>
    <w:rsid w:val="16963E15"/>
    <w:rsid w:val="169B5F15"/>
    <w:rsid w:val="177D737D"/>
    <w:rsid w:val="18251A52"/>
    <w:rsid w:val="18F92001"/>
    <w:rsid w:val="19616ABA"/>
    <w:rsid w:val="1B436F0A"/>
    <w:rsid w:val="1B694767"/>
    <w:rsid w:val="1BD00772"/>
    <w:rsid w:val="1C9C2399"/>
    <w:rsid w:val="1D237B0B"/>
    <w:rsid w:val="1D95369E"/>
    <w:rsid w:val="1E526AE5"/>
    <w:rsid w:val="1E6515A9"/>
    <w:rsid w:val="1E9578A8"/>
    <w:rsid w:val="20375FF9"/>
    <w:rsid w:val="20D71D0D"/>
    <w:rsid w:val="2143656A"/>
    <w:rsid w:val="2153095D"/>
    <w:rsid w:val="226945B7"/>
    <w:rsid w:val="2380624E"/>
    <w:rsid w:val="23B31EAB"/>
    <w:rsid w:val="247D1AA2"/>
    <w:rsid w:val="272C5633"/>
    <w:rsid w:val="2743034F"/>
    <w:rsid w:val="2780381A"/>
    <w:rsid w:val="27D73401"/>
    <w:rsid w:val="28037637"/>
    <w:rsid w:val="287E543C"/>
    <w:rsid w:val="28E7556E"/>
    <w:rsid w:val="2A760C8D"/>
    <w:rsid w:val="2A977101"/>
    <w:rsid w:val="2AAE0CD8"/>
    <w:rsid w:val="2AE27438"/>
    <w:rsid w:val="2B244DDA"/>
    <w:rsid w:val="2C8A6E77"/>
    <w:rsid w:val="2CA27C87"/>
    <w:rsid w:val="2CDD01DE"/>
    <w:rsid w:val="2CF84C7E"/>
    <w:rsid w:val="2E603167"/>
    <w:rsid w:val="2E683364"/>
    <w:rsid w:val="2EAF6B5C"/>
    <w:rsid w:val="2ECE6548"/>
    <w:rsid w:val="2EF20C31"/>
    <w:rsid w:val="2FA173D3"/>
    <w:rsid w:val="30B50F0D"/>
    <w:rsid w:val="30B54C12"/>
    <w:rsid w:val="325D2F13"/>
    <w:rsid w:val="328B4612"/>
    <w:rsid w:val="3395278C"/>
    <w:rsid w:val="33F06978"/>
    <w:rsid w:val="3436157E"/>
    <w:rsid w:val="35E36DFB"/>
    <w:rsid w:val="36592371"/>
    <w:rsid w:val="37EE6A7B"/>
    <w:rsid w:val="382D4708"/>
    <w:rsid w:val="39417FDF"/>
    <w:rsid w:val="39AF0532"/>
    <w:rsid w:val="3A0604BB"/>
    <w:rsid w:val="3AC73633"/>
    <w:rsid w:val="3B106559"/>
    <w:rsid w:val="3B904232"/>
    <w:rsid w:val="3C3F3F32"/>
    <w:rsid w:val="3CBC297D"/>
    <w:rsid w:val="3D257F55"/>
    <w:rsid w:val="3DBC19DD"/>
    <w:rsid w:val="3E4C56CE"/>
    <w:rsid w:val="3EA2195E"/>
    <w:rsid w:val="400E3852"/>
    <w:rsid w:val="4098556E"/>
    <w:rsid w:val="40A5074E"/>
    <w:rsid w:val="40A772FC"/>
    <w:rsid w:val="40E77436"/>
    <w:rsid w:val="41695E8E"/>
    <w:rsid w:val="41BA54F9"/>
    <w:rsid w:val="41F836C1"/>
    <w:rsid w:val="42055BCE"/>
    <w:rsid w:val="426F7A03"/>
    <w:rsid w:val="43342529"/>
    <w:rsid w:val="433A2AE5"/>
    <w:rsid w:val="4371138D"/>
    <w:rsid w:val="44AA5C83"/>
    <w:rsid w:val="450F792B"/>
    <w:rsid w:val="451F4DC9"/>
    <w:rsid w:val="459A6A0F"/>
    <w:rsid w:val="45D83814"/>
    <w:rsid w:val="4742241E"/>
    <w:rsid w:val="477B18FF"/>
    <w:rsid w:val="482074E6"/>
    <w:rsid w:val="48353F5F"/>
    <w:rsid w:val="48553C3B"/>
    <w:rsid w:val="48FF0AE7"/>
    <w:rsid w:val="494F48A9"/>
    <w:rsid w:val="49CC4D9E"/>
    <w:rsid w:val="4A3D1617"/>
    <w:rsid w:val="4BE210E5"/>
    <w:rsid w:val="4D0F5ED4"/>
    <w:rsid w:val="4E1775ED"/>
    <w:rsid w:val="4E9A1862"/>
    <w:rsid w:val="4EF53F68"/>
    <w:rsid w:val="4F1A3E4D"/>
    <w:rsid w:val="5033026D"/>
    <w:rsid w:val="504E745A"/>
    <w:rsid w:val="50573DAA"/>
    <w:rsid w:val="51E8213E"/>
    <w:rsid w:val="51E90F7F"/>
    <w:rsid w:val="52493AC5"/>
    <w:rsid w:val="534C2431"/>
    <w:rsid w:val="53FF53AA"/>
    <w:rsid w:val="55853A05"/>
    <w:rsid w:val="56494ABB"/>
    <w:rsid w:val="57823D54"/>
    <w:rsid w:val="5812125F"/>
    <w:rsid w:val="58872B45"/>
    <w:rsid w:val="59F50D45"/>
    <w:rsid w:val="5AA4447D"/>
    <w:rsid w:val="5B235CEE"/>
    <w:rsid w:val="5BA81F2C"/>
    <w:rsid w:val="5CED045B"/>
    <w:rsid w:val="5D015E27"/>
    <w:rsid w:val="5D087745"/>
    <w:rsid w:val="5D1F4A08"/>
    <w:rsid w:val="5DE77A22"/>
    <w:rsid w:val="5EB56A74"/>
    <w:rsid w:val="5F196056"/>
    <w:rsid w:val="60752EA6"/>
    <w:rsid w:val="617C1696"/>
    <w:rsid w:val="61CD61DC"/>
    <w:rsid w:val="63197C42"/>
    <w:rsid w:val="666B73A8"/>
    <w:rsid w:val="66B5286D"/>
    <w:rsid w:val="6713004D"/>
    <w:rsid w:val="6763235E"/>
    <w:rsid w:val="676E098D"/>
    <w:rsid w:val="67A91DCF"/>
    <w:rsid w:val="69421F39"/>
    <w:rsid w:val="69FD63BF"/>
    <w:rsid w:val="6A736C7D"/>
    <w:rsid w:val="6A7A7A00"/>
    <w:rsid w:val="6AC93608"/>
    <w:rsid w:val="6ACF6D2C"/>
    <w:rsid w:val="6B074428"/>
    <w:rsid w:val="6BC12C57"/>
    <w:rsid w:val="6BCB4733"/>
    <w:rsid w:val="6C060AF4"/>
    <w:rsid w:val="6CA503CC"/>
    <w:rsid w:val="6D0241A3"/>
    <w:rsid w:val="6D190C1C"/>
    <w:rsid w:val="6DF67133"/>
    <w:rsid w:val="6E194BA0"/>
    <w:rsid w:val="6F314E1C"/>
    <w:rsid w:val="6FA83026"/>
    <w:rsid w:val="70437BF3"/>
    <w:rsid w:val="708D1CA5"/>
    <w:rsid w:val="70A82560"/>
    <w:rsid w:val="71235B2B"/>
    <w:rsid w:val="7133315A"/>
    <w:rsid w:val="715309AD"/>
    <w:rsid w:val="715C5BEE"/>
    <w:rsid w:val="71A95993"/>
    <w:rsid w:val="723A22E2"/>
    <w:rsid w:val="724C24B7"/>
    <w:rsid w:val="72696741"/>
    <w:rsid w:val="729E0118"/>
    <w:rsid w:val="736F21CC"/>
    <w:rsid w:val="73AD178B"/>
    <w:rsid w:val="740950B3"/>
    <w:rsid w:val="7454717B"/>
    <w:rsid w:val="745F6616"/>
    <w:rsid w:val="76710505"/>
    <w:rsid w:val="767B1E13"/>
    <w:rsid w:val="77016D02"/>
    <w:rsid w:val="778E4489"/>
    <w:rsid w:val="78275DF8"/>
    <w:rsid w:val="786C3D04"/>
    <w:rsid w:val="78A771BA"/>
    <w:rsid w:val="79706669"/>
    <w:rsid w:val="7A6315F1"/>
    <w:rsid w:val="7A760174"/>
    <w:rsid w:val="7B164AEC"/>
    <w:rsid w:val="7B271E2D"/>
    <w:rsid w:val="7B9E227C"/>
    <w:rsid w:val="7BD31E43"/>
    <w:rsid w:val="7BFC2436"/>
    <w:rsid w:val="7D274A99"/>
    <w:rsid w:val="7D371584"/>
    <w:rsid w:val="7D865539"/>
    <w:rsid w:val="7DCF4A0E"/>
    <w:rsid w:val="7E431353"/>
    <w:rsid w:val="7F720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8">
    <w:name w:val="annotation reference"/>
    <w:basedOn w:val="7"/>
    <w:qFormat/>
    <w:uiPriority w:val="0"/>
    <w:rPr>
      <w:sz w:val="21"/>
      <w:szCs w:val="21"/>
    </w:rPr>
  </w:style>
  <w:style w:type="character" w:customStyle="1" w:styleId="9">
    <w:name w:val="标题 1 字符"/>
    <w:basedOn w:val="7"/>
    <w:link w:val="2"/>
    <w:qFormat/>
    <w:uiPriority w:val="9"/>
    <w:rPr>
      <w:rFonts w:asciiTheme="minorHAnsi" w:hAnsiTheme="minorHAnsi" w:eastAsiaTheme="minorEastAsia" w:cstheme="minorBidi"/>
      <w:b/>
      <w:bCs/>
      <w:kern w:val="44"/>
      <w:sz w:val="44"/>
      <w:szCs w:val="44"/>
    </w:rPr>
  </w:style>
  <w:style w:type="character" w:customStyle="1" w:styleId="10">
    <w:name w:val="页眉 字符"/>
    <w:basedOn w:val="7"/>
    <w:link w:val="5"/>
    <w:qFormat/>
    <w:uiPriority w:val="0"/>
    <w:rPr>
      <w:rFonts w:ascii="Calibri" w:hAnsi="Calibri"/>
      <w:kern w:val="2"/>
      <w:sz w:val="18"/>
      <w:szCs w:val="18"/>
    </w:rPr>
  </w:style>
  <w:style w:type="character" w:customStyle="1" w:styleId="11">
    <w:name w:val="页脚 字符"/>
    <w:basedOn w:val="7"/>
    <w:link w:val="4"/>
    <w:qFormat/>
    <w:uiPriority w:val="0"/>
    <w:rPr>
      <w:rFonts w:ascii="Calibri" w:hAnsi="Calibri"/>
      <w:kern w:val="2"/>
      <w:sz w:val="18"/>
      <w:szCs w:val="18"/>
    </w:rPr>
  </w:style>
  <w:style w:type="paragraph" w:customStyle="1" w:styleId="12">
    <w:name w:val="修订1"/>
    <w:hidden/>
    <w:semiHidden/>
    <w:qFormat/>
    <w:uiPriority w:val="99"/>
    <w:rPr>
      <w:rFonts w:ascii="Calibri" w:hAnsi="Calibri" w:eastAsia="宋体" w:cs="Times New Roman"/>
      <w:kern w:val="2"/>
      <w:sz w:val="21"/>
      <w:szCs w:val="22"/>
      <w:lang w:val="en-US" w:eastAsia="zh-CN" w:bidi="ar-SA"/>
    </w:rPr>
  </w:style>
  <w:style w:type="paragraph" w:styleId="13">
    <w:name w:val="List Paragraph"/>
    <w:basedOn w:val="1"/>
    <w:qFormat/>
    <w:uiPriority w:val="34"/>
    <w:pPr>
      <w:widowControl/>
      <w:ind w:firstLine="420" w:firstLineChars="200"/>
      <w:jc w:val="left"/>
    </w:pPr>
    <w:rPr>
      <w:rFonts w:ascii="宋体" w:hAnsi="宋体" w:cs="宋体"/>
      <w:kern w:val="0"/>
      <w:sz w:val="24"/>
      <w:szCs w:val="24"/>
    </w:rPr>
  </w:style>
  <w:style w:type="paragraph" w:customStyle="1" w:styleId="14">
    <w:name w:val="Revision"/>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710</Words>
  <Characters>4053</Characters>
  <Lines>33</Lines>
  <Paragraphs>9</Paragraphs>
  <TotalTime>1</TotalTime>
  <ScaleCrop>false</ScaleCrop>
  <LinksUpToDate>false</LinksUpToDate>
  <CharactersWithSpaces>4754</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2021-12-11T15:08:00Z</dcterms:created>
  <dc:creator>黄晴</dc:creator>
  <cp:lastModifiedBy>DELL</cp:lastModifiedBy>
  <cp:lastPrinted>2021-12-13T08:39:00Z</cp:lastPrinted>
  <dcterms:modified xsi:type="dcterms:W3CDTF">2021-12-13T09:47:58Z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71ED570E0EC24548ACB127ACC0B9CBB3</vt:lpwstr>
  </property>
</Properties>
</file>