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8"/>
        </w:rPr>
      </w:pPr>
      <w:bookmarkStart w:id="1" w:name="_GoBack"/>
      <w:bookmarkEnd w:id="1"/>
      <w:r>
        <w:rPr>
          <w:rFonts w:hint="eastAsia"/>
          <w:b/>
          <w:sz w:val="28"/>
        </w:rPr>
        <w:t>《中国经济学》第</w:t>
      </w:r>
      <w:r>
        <w:rPr>
          <w:b/>
          <w:sz w:val="28"/>
        </w:rPr>
        <w:t>4</w:t>
      </w:r>
      <w:r>
        <w:rPr>
          <w:rFonts w:hint="eastAsia"/>
          <w:b/>
          <w:sz w:val="28"/>
        </w:rPr>
        <w:t>届审稿快线成功举办</w:t>
      </w:r>
    </w:p>
    <w:p>
      <w:pPr>
        <w:spacing w:line="360" w:lineRule="auto"/>
        <w:rPr>
          <w:sz w:val="24"/>
          <w:szCs w:val="24"/>
        </w:rPr>
      </w:pPr>
    </w:p>
    <w:p>
      <w:pPr>
        <w:spacing w:line="360" w:lineRule="auto"/>
        <w:rPr>
          <w:sz w:val="24"/>
          <w:szCs w:val="24"/>
        </w:rPr>
      </w:pPr>
      <w:r>
        <w:rPr>
          <w:sz w:val="24"/>
          <w:szCs w:val="24"/>
        </w:rPr>
        <w:drawing>
          <wp:inline distT="0" distB="0" distL="0" distR="0">
            <wp:extent cx="5274310" cy="5274310"/>
            <wp:effectExtent l="0" t="0" r="0" b="0"/>
            <wp:docPr id="1" name="图片 1" descr="C:\Users\dell\AppData\Local\Temp\WeChat Files\d3c0d6d85becb650b3531ce680c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WeChat Files\d3c0d6d85becb650b3531ce680c63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pPr>
        <w:spacing w:line="360" w:lineRule="auto"/>
        <w:ind w:firstLine="480" w:firstLineChars="200"/>
        <w:rPr>
          <w:sz w:val="24"/>
          <w:szCs w:val="24"/>
        </w:rPr>
      </w:pPr>
      <w:r>
        <w:rPr>
          <w:sz w:val="24"/>
          <w:szCs w:val="24"/>
        </w:rPr>
        <w:t>2022年8月6日上午，</w:t>
      </w:r>
      <w:r>
        <w:rPr>
          <w:rFonts w:hint="eastAsia"/>
          <w:sz w:val="24"/>
          <w:szCs w:val="24"/>
        </w:rPr>
        <w:t>《中国经济学》第</w:t>
      </w:r>
      <w:r>
        <w:rPr>
          <w:sz w:val="24"/>
          <w:szCs w:val="24"/>
        </w:rPr>
        <w:t>4</w:t>
      </w:r>
      <w:r>
        <w:rPr>
          <w:rFonts w:hint="eastAsia"/>
          <w:sz w:val="24"/>
          <w:szCs w:val="24"/>
        </w:rPr>
        <w:t>届审稿快线成功举办，</w:t>
      </w:r>
      <w:r>
        <w:rPr>
          <w:sz w:val="24"/>
          <w:szCs w:val="24"/>
        </w:rPr>
        <w:t>100</w:t>
      </w:r>
      <w:r>
        <w:rPr>
          <w:rFonts w:hint="eastAsia"/>
          <w:sz w:val="24"/>
          <w:szCs w:val="24"/>
        </w:rPr>
        <w:t>余名学者相聚云端参加了本次会议。本届审稿快线共收到3</w:t>
      </w:r>
      <w:r>
        <w:rPr>
          <w:sz w:val="24"/>
          <w:szCs w:val="24"/>
        </w:rPr>
        <w:t>0</w:t>
      </w:r>
      <w:r>
        <w:rPr>
          <w:rFonts w:hint="eastAsia"/>
          <w:sz w:val="24"/>
          <w:szCs w:val="24"/>
        </w:rPr>
        <w:t>篇高质量投稿论文，经组委会讨论，选取</w:t>
      </w:r>
      <w:r>
        <w:rPr>
          <w:sz w:val="24"/>
          <w:szCs w:val="24"/>
        </w:rPr>
        <w:t>4</w:t>
      </w:r>
      <w:r>
        <w:rPr>
          <w:rFonts w:hint="eastAsia"/>
          <w:sz w:val="24"/>
          <w:szCs w:val="24"/>
        </w:rPr>
        <w:t>篇论文进行报告和点评，并评选出1篇</w:t>
      </w:r>
      <w:r>
        <w:rPr>
          <w:sz w:val="24"/>
          <w:szCs w:val="24"/>
        </w:rPr>
        <w:t>最佳论文</w:t>
      </w:r>
      <w:r>
        <w:rPr>
          <w:rFonts w:hint="eastAsia"/>
          <w:sz w:val="24"/>
          <w:szCs w:val="24"/>
        </w:rPr>
        <w:t>。会议分上半场和下半场进行，分别由《中国经济学》编辑部副主任陈星星副编审和责任编辑李兆辰助理研究员主持。</w:t>
      </w:r>
    </w:p>
    <w:p>
      <w:pPr>
        <w:spacing w:line="360" w:lineRule="auto"/>
        <w:ind w:firstLine="480" w:firstLineChars="200"/>
        <w:rPr>
          <w:sz w:val="24"/>
          <w:szCs w:val="24"/>
        </w:rPr>
      </w:pPr>
      <w:r>
        <w:rPr>
          <w:rFonts w:hint="eastAsia"/>
          <w:sz w:val="24"/>
          <w:szCs w:val="24"/>
        </w:rPr>
        <w:t>第1篇报告论文的题目为《法治强化促进了企业绿色创新吗？——来自新&lt;环保法&gt;施行的证据》，报告人为湖南师范大学</w:t>
      </w:r>
      <w:bookmarkStart w:id="0" w:name="_Hlk110760627"/>
      <w:r>
        <w:rPr>
          <w:rFonts w:hint="eastAsia"/>
          <w:sz w:val="24"/>
          <w:szCs w:val="24"/>
        </w:rPr>
        <w:t>邓水银</w:t>
      </w:r>
      <w:bookmarkEnd w:id="0"/>
      <w:r>
        <w:rPr>
          <w:rFonts w:hint="eastAsia"/>
          <w:sz w:val="24"/>
          <w:szCs w:val="24"/>
        </w:rPr>
        <w:t>，评论人为南京财经大学余泳泽以及湖南大学华岳。本文基于</w:t>
      </w:r>
      <w:r>
        <w:rPr>
          <w:sz w:val="24"/>
          <w:szCs w:val="24"/>
        </w:rPr>
        <w:t>2011</w:t>
      </w:r>
      <w:r>
        <w:rPr>
          <w:rFonts w:hint="eastAsia"/>
          <w:sz w:val="24"/>
          <w:szCs w:val="24"/>
        </w:rPr>
        <w:t>-</w:t>
      </w:r>
      <w:r>
        <w:rPr>
          <w:sz w:val="24"/>
          <w:szCs w:val="24"/>
        </w:rPr>
        <w:t>2019年中国 A 股上市工业企业的研究样本和手工收集的绿色专利数据，</w:t>
      </w:r>
      <w:r>
        <w:rPr>
          <w:rFonts w:hint="eastAsia"/>
          <w:sz w:val="24"/>
          <w:szCs w:val="24"/>
        </w:rPr>
        <w:t>从新《环保法》法条出发，将地方政府监管与激励、公众监督与关注、企业社会责任和企业环保决策纳入同一研究场景，采用广义双重差分法检验了新《环保法》施行引发的法治强化对企业绿色创新数量和质量的影响。</w:t>
      </w:r>
    </w:p>
    <w:p>
      <w:pPr>
        <w:spacing w:line="360" w:lineRule="auto"/>
        <w:ind w:firstLine="480" w:firstLineChars="200"/>
        <w:rPr>
          <w:sz w:val="24"/>
          <w:szCs w:val="24"/>
        </w:rPr>
      </w:pPr>
      <w:r>
        <w:rPr>
          <w:rFonts w:hint="eastAsia"/>
          <w:sz w:val="24"/>
          <w:szCs w:val="24"/>
        </w:rPr>
        <w:t>第</w:t>
      </w:r>
      <w:r>
        <w:rPr>
          <w:sz w:val="24"/>
          <w:szCs w:val="24"/>
        </w:rPr>
        <w:t>2</w:t>
      </w:r>
      <w:r>
        <w:rPr>
          <w:rFonts w:hint="eastAsia"/>
          <w:sz w:val="24"/>
          <w:szCs w:val="24"/>
        </w:rPr>
        <w:t>篇报告论文的题目为《“专精特新”企业成长，创业企业家特质和风险资本助力》，报告人为哈尔滨工业大学邬瑜骏，评论人为南京财经大学余泳泽以及湖南大学华岳。本文通过创业企业家特质和风险资本两个维度来研究专精特新“小巨人”企业成长过程中的核心驱动因素。研究发现，创业企业家的学历程度、技术背景和学术背景有利于制造业中小企业成长为专精特新企业，而企业家海外背景和金融背景反而不利；风投机构投资，特别是风投机构联合投资和风投对赌协议能够提高成长为专精特新企业的概率。</w:t>
      </w:r>
    </w:p>
    <w:p>
      <w:pPr>
        <w:spacing w:line="360" w:lineRule="auto"/>
        <w:ind w:firstLine="480" w:firstLineChars="200"/>
        <w:rPr>
          <w:sz w:val="24"/>
          <w:szCs w:val="24"/>
        </w:rPr>
      </w:pPr>
      <w:r>
        <w:rPr>
          <w:rFonts w:hint="eastAsia"/>
          <w:sz w:val="24"/>
          <w:szCs w:val="24"/>
        </w:rPr>
        <w:t>第</w:t>
      </w:r>
      <w:r>
        <w:rPr>
          <w:sz w:val="24"/>
          <w:szCs w:val="24"/>
        </w:rPr>
        <w:t>3</w:t>
      </w:r>
      <w:r>
        <w:rPr>
          <w:rFonts w:hint="eastAsia"/>
          <w:sz w:val="24"/>
          <w:szCs w:val="24"/>
        </w:rPr>
        <w:t>篇报告论文的题目为《理解中国住户部门储蓄率的上升与下降——基于生命周期假说的理论与实证检验》，报告人为清华大学谢畅，评论人为中山大学梁平汉以及中国社会科学院金融研究所汪勇。本文基于生命周期假说提供了一个解释住户部门储蓄率上升和下降的统一框架，结合高速增长经济体的收入—年龄分布曲线，识别储蓄率随户主年龄的</w:t>
      </w:r>
      <w:r>
        <w:rPr>
          <w:sz w:val="24"/>
          <w:szCs w:val="24"/>
        </w:rPr>
        <w:t>U型曲线（中年户主家庭储蓄率凹陷）。考虑到教育、医疗负担的加剧、多代合居等因素后，本文解释仍然显著。测算发现</w:t>
      </w:r>
      <w:r>
        <w:rPr>
          <w:rFonts w:hint="eastAsia"/>
          <w:sz w:val="24"/>
          <w:szCs w:val="24"/>
        </w:rPr>
        <w:t>，</w:t>
      </w:r>
      <w:r>
        <w:rPr>
          <w:sz w:val="24"/>
          <w:szCs w:val="24"/>
        </w:rPr>
        <w:t>收入增速的下降是2010年以来储蓄率下降的主因，老龄化导致储蓄率上升，受教育年限的提高能够促进消费。对未来5年的预测结果表明收入增速对储蓄率的变化趋势有显著影响。</w:t>
      </w:r>
    </w:p>
    <w:p>
      <w:pPr>
        <w:spacing w:line="360" w:lineRule="auto"/>
        <w:ind w:firstLine="480" w:firstLineChars="200"/>
        <w:rPr>
          <w:sz w:val="24"/>
          <w:szCs w:val="24"/>
        </w:rPr>
      </w:pPr>
      <w:r>
        <w:rPr>
          <w:rFonts w:hint="eastAsia"/>
          <w:sz w:val="24"/>
          <w:szCs w:val="24"/>
        </w:rPr>
        <w:t>第</w:t>
      </w:r>
      <w:r>
        <w:rPr>
          <w:sz w:val="24"/>
          <w:szCs w:val="24"/>
        </w:rPr>
        <w:t>4</w:t>
      </w:r>
      <w:r>
        <w:rPr>
          <w:rFonts w:hint="eastAsia"/>
          <w:sz w:val="24"/>
          <w:szCs w:val="24"/>
        </w:rPr>
        <w:t>篇报告论文的题目为《股权激励计划何以提高企业创新水平？——基于合约特征全要素视角》，报告人为山东工商学院李连伟，评论人为北京大学王勋以及中山大学梁平汉。本文基于合约特征全要素视角和契约异质性视角，采用多期</w:t>
      </w:r>
      <w:r>
        <w:rPr>
          <w:sz w:val="24"/>
          <w:szCs w:val="24"/>
        </w:rPr>
        <w:t>PSM-DID方法检验了股权激励计划对企业创新的影响，发现股权激励计划显著提高了企业创新投入和创新产出水平，并且主要提高成长期和成熟期企业的创新投入，以及成熟期企业的创新产出。</w:t>
      </w:r>
    </w:p>
    <w:p>
      <w:pPr>
        <w:spacing w:line="360" w:lineRule="auto"/>
        <w:ind w:firstLine="480" w:firstLineChars="200"/>
        <w:rPr>
          <w:sz w:val="24"/>
          <w:szCs w:val="24"/>
        </w:rPr>
      </w:pPr>
      <w:r>
        <w:rPr>
          <w:rFonts w:hint="eastAsia"/>
          <w:sz w:val="24"/>
          <w:szCs w:val="24"/>
        </w:rPr>
        <w:t>经过点评专家评审打分，《中国经济学》第</w:t>
      </w:r>
      <w:r>
        <w:rPr>
          <w:sz w:val="24"/>
          <w:szCs w:val="24"/>
        </w:rPr>
        <w:t>4届审稿快线最佳论文</w:t>
      </w:r>
      <w:r>
        <w:rPr>
          <w:rFonts w:hint="eastAsia"/>
          <w:sz w:val="24"/>
          <w:szCs w:val="24"/>
        </w:rPr>
        <w:t>为《法治强化促进了企业绿色创新吗？——来自新&lt;环保法&gt;施行的证据》，作者为湖南师范大学商学院袁冬梅和邓水银。《中国经济学》编辑部将在一周内为全部参会论文提供审稿意见，决定录用、修改再审或退稿。</w:t>
      </w:r>
    </w:p>
    <w:p>
      <w:pPr>
        <w:spacing w:line="360" w:lineRule="auto"/>
        <w:ind w:firstLine="480" w:firstLineChars="200"/>
        <w:rPr>
          <w:sz w:val="24"/>
          <w:szCs w:val="24"/>
        </w:rPr>
      </w:pPr>
      <w:r>
        <w:rPr>
          <w:rFonts w:hint="eastAsia"/>
          <w:sz w:val="24"/>
          <w:szCs w:val="24"/>
        </w:rPr>
        <w:t>最后，《中国经济学》编辑部副主任陈星星副编审对本届审稿快线进行总结，对所有参会学者的关注和支持表示感谢。展望未来，欢迎各位学界同仁继续关注《中国经济学》，参与审稿快线，共同为中国经济学的蓬勃发展贡献智慧和力量！</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jc w:val="right"/>
        <w:rPr>
          <w:sz w:val="24"/>
          <w:szCs w:val="24"/>
        </w:rPr>
      </w:pPr>
      <w:r>
        <w:rPr>
          <w:rFonts w:hint="eastAsia"/>
          <w:sz w:val="24"/>
          <w:szCs w:val="24"/>
        </w:rPr>
        <w:t>《中国经济学》编辑部</w:t>
      </w:r>
    </w:p>
    <w:p>
      <w:pPr>
        <w:spacing w:line="360" w:lineRule="auto"/>
        <w:ind w:firstLine="480" w:firstLineChars="200"/>
        <w:jc w:val="right"/>
        <w:rPr>
          <w:sz w:val="24"/>
          <w:szCs w:val="24"/>
        </w:rPr>
      </w:pPr>
      <w:r>
        <w:rPr>
          <w:rFonts w:hint="eastAsia"/>
          <w:sz w:val="24"/>
          <w:szCs w:val="24"/>
        </w:rPr>
        <w:t>2</w:t>
      </w:r>
      <w:r>
        <w:rPr>
          <w:sz w:val="24"/>
          <w:szCs w:val="24"/>
        </w:rPr>
        <w:t>022</w:t>
      </w:r>
      <w:r>
        <w:rPr>
          <w:rFonts w:hint="eastAsia"/>
          <w:sz w:val="24"/>
          <w:szCs w:val="24"/>
        </w:rPr>
        <w:t>年8月7日</w:t>
      </w:r>
    </w:p>
    <w:sectPr>
      <w:footerReference r:id="rId3" w:type="default"/>
      <w:footnotePr>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6029748"/>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85"/>
    <w:rsid w:val="00003275"/>
    <w:rsid w:val="000333E1"/>
    <w:rsid w:val="00035EC3"/>
    <w:rsid w:val="00055895"/>
    <w:rsid w:val="000A16C0"/>
    <w:rsid w:val="000B5CD3"/>
    <w:rsid w:val="000F26B6"/>
    <w:rsid w:val="00141774"/>
    <w:rsid w:val="00181702"/>
    <w:rsid w:val="00182996"/>
    <w:rsid w:val="00186461"/>
    <w:rsid w:val="001B7677"/>
    <w:rsid w:val="001C0970"/>
    <w:rsid w:val="001C64FD"/>
    <w:rsid w:val="001F1093"/>
    <w:rsid w:val="001F420B"/>
    <w:rsid w:val="001F46A7"/>
    <w:rsid w:val="00207FE6"/>
    <w:rsid w:val="00221249"/>
    <w:rsid w:val="00243564"/>
    <w:rsid w:val="002761B3"/>
    <w:rsid w:val="002779B9"/>
    <w:rsid w:val="002A4B45"/>
    <w:rsid w:val="002A7C65"/>
    <w:rsid w:val="002B264D"/>
    <w:rsid w:val="002B3518"/>
    <w:rsid w:val="002C254C"/>
    <w:rsid w:val="002D53E3"/>
    <w:rsid w:val="002E7F59"/>
    <w:rsid w:val="0030036C"/>
    <w:rsid w:val="0031477E"/>
    <w:rsid w:val="00322D8C"/>
    <w:rsid w:val="00327522"/>
    <w:rsid w:val="00347067"/>
    <w:rsid w:val="00350BFC"/>
    <w:rsid w:val="00386D2D"/>
    <w:rsid w:val="003C1002"/>
    <w:rsid w:val="003D4671"/>
    <w:rsid w:val="003D5807"/>
    <w:rsid w:val="00410402"/>
    <w:rsid w:val="00421863"/>
    <w:rsid w:val="0044170A"/>
    <w:rsid w:val="004974B3"/>
    <w:rsid w:val="004A2EF9"/>
    <w:rsid w:val="004E0A63"/>
    <w:rsid w:val="005005BD"/>
    <w:rsid w:val="00512F1B"/>
    <w:rsid w:val="00533CD4"/>
    <w:rsid w:val="00541A7D"/>
    <w:rsid w:val="00561C52"/>
    <w:rsid w:val="00566B78"/>
    <w:rsid w:val="00574CCF"/>
    <w:rsid w:val="005A557E"/>
    <w:rsid w:val="005E1D0F"/>
    <w:rsid w:val="005E7EB3"/>
    <w:rsid w:val="00670B56"/>
    <w:rsid w:val="006C017C"/>
    <w:rsid w:val="006D44CF"/>
    <w:rsid w:val="00705185"/>
    <w:rsid w:val="00741F35"/>
    <w:rsid w:val="00765EEB"/>
    <w:rsid w:val="007940B8"/>
    <w:rsid w:val="007B31C0"/>
    <w:rsid w:val="007D13E6"/>
    <w:rsid w:val="007E2C66"/>
    <w:rsid w:val="007E568C"/>
    <w:rsid w:val="007F4AC5"/>
    <w:rsid w:val="00807AED"/>
    <w:rsid w:val="00814778"/>
    <w:rsid w:val="00814AD0"/>
    <w:rsid w:val="00820C31"/>
    <w:rsid w:val="00865648"/>
    <w:rsid w:val="00896859"/>
    <w:rsid w:val="008C6D45"/>
    <w:rsid w:val="008E1AA8"/>
    <w:rsid w:val="008F189D"/>
    <w:rsid w:val="008F349C"/>
    <w:rsid w:val="009009CD"/>
    <w:rsid w:val="00911099"/>
    <w:rsid w:val="009338E2"/>
    <w:rsid w:val="00956255"/>
    <w:rsid w:val="0098731E"/>
    <w:rsid w:val="009B4FD2"/>
    <w:rsid w:val="009E0CCA"/>
    <w:rsid w:val="00A02DB1"/>
    <w:rsid w:val="00A0415F"/>
    <w:rsid w:val="00A1564E"/>
    <w:rsid w:val="00A21537"/>
    <w:rsid w:val="00A21F65"/>
    <w:rsid w:val="00A55B32"/>
    <w:rsid w:val="00AA6429"/>
    <w:rsid w:val="00B23A43"/>
    <w:rsid w:val="00B5433B"/>
    <w:rsid w:val="00B56CE5"/>
    <w:rsid w:val="00B747DF"/>
    <w:rsid w:val="00B814C9"/>
    <w:rsid w:val="00BE32DA"/>
    <w:rsid w:val="00BF0A05"/>
    <w:rsid w:val="00C15375"/>
    <w:rsid w:val="00C23FFE"/>
    <w:rsid w:val="00C44CCC"/>
    <w:rsid w:val="00C56713"/>
    <w:rsid w:val="00C7096D"/>
    <w:rsid w:val="00CA3025"/>
    <w:rsid w:val="00CA6B5A"/>
    <w:rsid w:val="00CE47AE"/>
    <w:rsid w:val="00D00F0D"/>
    <w:rsid w:val="00D04CB2"/>
    <w:rsid w:val="00D10C39"/>
    <w:rsid w:val="00D27AA3"/>
    <w:rsid w:val="00D31E3D"/>
    <w:rsid w:val="00D32C4B"/>
    <w:rsid w:val="00D41602"/>
    <w:rsid w:val="00D6457E"/>
    <w:rsid w:val="00D8263A"/>
    <w:rsid w:val="00D93BE7"/>
    <w:rsid w:val="00D93ED2"/>
    <w:rsid w:val="00D97E5F"/>
    <w:rsid w:val="00DA161C"/>
    <w:rsid w:val="00DA25C1"/>
    <w:rsid w:val="00DA2E51"/>
    <w:rsid w:val="00DB3498"/>
    <w:rsid w:val="00DB5C34"/>
    <w:rsid w:val="00E20584"/>
    <w:rsid w:val="00E400FB"/>
    <w:rsid w:val="00E4679B"/>
    <w:rsid w:val="00E62B64"/>
    <w:rsid w:val="00E74AF0"/>
    <w:rsid w:val="00E93156"/>
    <w:rsid w:val="00EA3499"/>
    <w:rsid w:val="00EA3524"/>
    <w:rsid w:val="00EA3C1D"/>
    <w:rsid w:val="00EB4161"/>
    <w:rsid w:val="00ED74A1"/>
    <w:rsid w:val="00EE3386"/>
    <w:rsid w:val="00EE7A20"/>
    <w:rsid w:val="00EF022F"/>
    <w:rsid w:val="00F113E4"/>
    <w:rsid w:val="00F34E69"/>
    <w:rsid w:val="00F472D3"/>
    <w:rsid w:val="00F5443C"/>
    <w:rsid w:val="00F65340"/>
    <w:rsid w:val="00F74FA3"/>
    <w:rsid w:val="00F83DC5"/>
    <w:rsid w:val="00F86010"/>
    <w:rsid w:val="00F87BBB"/>
    <w:rsid w:val="00F906AF"/>
    <w:rsid w:val="00FA6808"/>
    <w:rsid w:val="00FA7904"/>
    <w:rsid w:val="00FB2826"/>
    <w:rsid w:val="09751D4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宋体" w:hAnsi="宋体" w:eastAsia="宋体"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7">
    <w:name w:val="宋体4号标题"/>
    <w:basedOn w:val="2"/>
    <w:next w:val="1"/>
    <w:link w:val="8"/>
    <w:qFormat/>
    <w:uiPriority w:val="0"/>
    <w:pPr>
      <w:spacing w:before="0" w:after="0" w:line="240" w:lineRule="auto"/>
    </w:pPr>
    <w:rPr>
      <w:rFonts w:ascii="Calibri" w:hAnsi="Calibri" w:cs="Calibri"/>
      <w:sz w:val="28"/>
      <w:szCs w:val="28"/>
    </w:rPr>
  </w:style>
  <w:style w:type="character" w:customStyle="1" w:styleId="8">
    <w:name w:val="宋体4号标题 字符"/>
    <w:basedOn w:val="6"/>
    <w:link w:val="7"/>
    <w:qFormat/>
    <w:uiPriority w:val="0"/>
    <w:rPr>
      <w:rFonts w:ascii="Calibri" w:hAnsi="Calibri" w:cs="Calibri"/>
      <w:b/>
      <w:bCs/>
      <w:kern w:val="44"/>
      <w:sz w:val="28"/>
      <w:szCs w:val="28"/>
    </w:rPr>
  </w:style>
  <w:style w:type="character" w:customStyle="1" w:styleId="9">
    <w:name w:val="标题 1 字符"/>
    <w:basedOn w:val="6"/>
    <w:link w:val="2"/>
    <w:uiPriority w:val="9"/>
    <w:rPr>
      <w:b/>
      <w:bCs/>
      <w:kern w:val="44"/>
      <w:sz w:val="44"/>
      <w:szCs w:val="44"/>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paragraph" w:customStyle="1" w:styleId="12">
    <w:name w:val="Revision"/>
    <w:hidden/>
    <w:semiHidden/>
    <w:uiPriority w:val="99"/>
    <w:pPr>
      <w:jc w:val="left"/>
    </w:pPr>
    <w:rPr>
      <w:rFonts w:ascii="宋体" w:hAnsi="宋体" w:eastAsia="宋体"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1322</Words>
  <Characters>1348</Characters>
  <Lines>9</Lines>
  <Paragraphs>2</Paragraphs>
  <TotalTime>24</TotalTime>
  <ScaleCrop>false</ScaleCrop>
  <LinksUpToDate>false</LinksUpToDate>
  <CharactersWithSpaces>1350</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2022-08-07T02:31:00Z</dcterms:created>
  <dc:creator>LZC Tsinghua</dc:creator>
  <cp:lastModifiedBy>M</cp:lastModifiedBy>
  <dcterms:modified xsi:type="dcterms:W3CDTF">2022-08-07T06:02:41Z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AFA0E67D76D34516BF97753475CF82E3</vt:lpwstr>
  </property>
</Properties>
</file>