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ascii="仿宋" w:hAnsi="仿宋" w:eastAsia="仿宋"/>
          <w:b/>
          <w:sz w:val="28"/>
          <w:szCs w:val="28"/>
        </w:rPr>
      </w:pPr>
    </w:p>
    <w:p>
      <w:pPr>
        <w:adjustRightInd w:val="0"/>
        <w:snapToGrid w:val="0"/>
        <w:spacing w:line="360" w:lineRule="auto"/>
        <w:jc w:val="center"/>
        <w:rPr>
          <w:rFonts w:ascii="华文中宋" w:hAnsi="华文中宋" w:eastAsia="华文中宋"/>
          <w:b/>
          <w:sz w:val="32"/>
          <w:szCs w:val="32"/>
        </w:rPr>
      </w:pPr>
      <w:r>
        <w:rPr>
          <w:rFonts w:hint="eastAsia" w:ascii="华文中宋" w:hAnsi="华文中宋" w:eastAsia="华文中宋"/>
          <w:b/>
          <w:sz w:val="32"/>
          <w:szCs w:val="32"/>
        </w:rPr>
        <w:t>第2</w:t>
      </w:r>
      <w:r>
        <w:rPr>
          <w:rFonts w:hint="eastAsia" w:ascii="华文中宋" w:hAnsi="华文中宋" w:eastAsia="华文中宋"/>
          <w:b/>
          <w:sz w:val="32"/>
          <w:szCs w:val="32"/>
          <w:lang w:val="en-US" w:eastAsia="zh-CN"/>
        </w:rPr>
        <w:t>届</w:t>
      </w:r>
      <w:r>
        <w:rPr>
          <w:rFonts w:hint="eastAsia" w:ascii="华文中宋" w:hAnsi="华文中宋" w:eastAsia="华文中宋"/>
          <w:b/>
          <w:sz w:val="32"/>
          <w:szCs w:val="32"/>
        </w:rPr>
        <w:t>《中国经济学》审稿快线研讨会成功举办</w:t>
      </w:r>
    </w:p>
    <w:p>
      <w:pPr>
        <w:adjustRightInd w:val="0"/>
        <w:snapToGrid w:val="0"/>
        <w:spacing w:line="360" w:lineRule="auto"/>
        <w:rPr>
          <w:rFonts w:ascii="仿宋" w:hAnsi="仿宋" w:eastAsia="仿宋"/>
          <w:sz w:val="28"/>
          <w:szCs w:val="28"/>
        </w:rPr>
      </w:pPr>
    </w:p>
    <w:p>
      <w:pPr>
        <w:adjustRightInd w:val="0"/>
        <w:snapToGrid w:val="0"/>
        <w:spacing w:line="360" w:lineRule="auto"/>
        <w:ind w:firstLine="560" w:firstLineChars="200"/>
        <w:rPr>
          <w:rFonts w:ascii="仿宋" w:hAnsi="仿宋" w:eastAsia="仿宋"/>
          <w:sz w:val="28"/>
          <w:szCs w:val="28"/>
        </w:rPr>
      </w:pPr>
      <w:r>
        <w:rPr>
          <w:rFonts w:ascii="仿宋" w:hAnsi="仿宋" w:eastAsia="仿宋"/>
          <w:sz w:val="28"/>
          <w:szCs w:val="28"/>
        </w:rPr>
        <w:t>2022年5月</w:t>
      </w:r>
      <w:r>
        <w:rPr>
          <w:rFonts w:hint="eastAsia" w:ascii="仿宋" w:hAnsi="仿宋" w:eastAsia="仿宋"/>
          <w:sz w:val="28"/>
          <w:szCs w:val="28"/>
        </w:rPr>
        <w:t>8</w:t>
      </w:r>
      <w:r>
        <w:rPr>
          <w:rFonts w:ascii="仿宋" w:hAnsi="仿宋" w:eastAsia="仿宋"/>
          <w:sz w:val="28"/>
          <w:szCs w:val="28"/>
        </w:rPr>
        <w:t>日上午，</w:t>
      </w:r>
      <w:r>
        <w:rPr>
          <w:rFonts w:hint="eastAsia" w:ascii="仿宋" w:hAnsi="仿宋" w:eastAsia="仿宋"/>
          <w:sz w:val="28"/>
          <w:szCs w:val="28"/>
        </w:rPr>
        <w:t>《中国经济学》第2</w:t>
      </w:r>
      <w:r>
        <w:rPr>
          <w:rFonts w:hint="eastAsia" w:ascii="仿宋" w:hAnsi="仿宋" w:eastAsia="仿宋"/>
          <w:sz w:val="28"/>
          <w:szCs w:val="28"/>
          <w:lang w:val="en-US" w:eastAsia="zh-CN"/>
        </w:rPr>
        <w:t>届</w:t>
      </w:r>
      <w:bookmarkStart w:id="0" w:name="_GoBack"/>
      <w:bookmarkEnd w:id="0"/>
      <w:r>
        <w:rPr>
          <w:rFonts w:hint="eastAsia" w:ascii="仿宋" w:hAnsi="仿宋" w:eastAsia="仿宋"/>
          <w:sz w:val="28"/>
          <w:szCs w:val="28"/>
        </w:rPr>
        <w:t>审稿快线研讨会成功举办，共有2</w:t>
      </w:r>
      <w:r>
        <w:rPr>
          <w:rFonts w:ascii="仿宋" w:hAnsi="仿宋" w:eastAsia="仿宋"/>
          <w:sz w:val="28"/>
          <w:szCs w:val="28"/>
        </w:rPr>
        <w:t>00</w:t>
      </w:r>
      <w:r>
        <w:rPr>
          <w:rFonts w:hint="eastAsia" w:ascii="仿宋" w:hAnsi="仿宋" w:eastAsia="仿宋"/>
          <w:sz w:val="28"/>
          <w:szCs w:val="28"/>
        </w:rPr>
        <w:t>余名学者参会。</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中国社会科学院数量经济与技术经济研究所党委书记李海舰研究员以“《中国经济学》之‘锚’”为题致开幕词。《中国经济学》办刊理念：“国之大者，经世济民”。《中国经济学》的五维画像是：</w:t>
      </w:r>
      <w:r>
        <w:rPr>
          <w:rFonts w:ascii="仿宋" w:hAnsi="仿宋" w:eastAsia="仿宋"/>
          <w:sz w:val="28"/>
          <w:szCs w:val="28"/>
        </w:rPr>
        <w:t xml:space="preserve"> </w:t>
      </w:r>
      <w:r>
        <w:rPr>
          <w:rFonts w:hint="eastAsia" w:ascii="仿宋" w:hAnsi="仿宋" w:eastAsia="仿宋"/>
          <w:sz w:val="28"/>
          <w:szCs w:val="28"/>
        </w:rPr>
        <w:t>（1）使命：探索中国发展新道路，引领人类文明新形态。（2）愿景：代表前沿、代表方向、代表趋势、代表未来。（3）宗旨：做标志性的事情，起引领性的作用。（4）目标：提供中国概念、中国范畴，体现中国风格、中国气派，彰显中国之路、中国之治，贡献中国方案、中国理论。（5）特色：理论创新与实践创新融为一体，学术研究与对策研究融为一体，思想原创与方法先进融为一体，系统思维与多维求解融为一体，中华文明与国际视野融为一体；从假定世界到真实世界，从相关关系到因果关系；从元素思维到系统思维；从一维求解到多维求解，从中国特色到国际主流。总之，《中国经济学》的八字理念和五维画像关乎期刊定位，关乎期刊编者、作者以及审稿者的站位，这便是《中国经济学》之“锚”。</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本次研讨会由《中国经济学》编辑部副主任陈星星、王喜峰分别主持。会议</w:t>
      </w:r>
      <w:r>
        <w:rPr>
          <w:rFonts w:ascii="仿宋" w:hAnsi="仿宋" w:eastAsia="仿宋"/>
          <w:sz w:val="28"/>
          <w:szCs w:val="28"/>
        </w:rPr>
        <w:t>共收到54篇高质量论文，经组委会讨论，最终选取</w:t>
      </w:r>
      <w:r>
        <w:rPr>
          <w:rFonts w:hint="eastAsia" w:ascii="仿宋" w:hAnsi="仿宋" w:eastAsia="仿宋"/>
          <w:sz w:val="28"/>
          <w:szCs w:val="28"/>
        </w:rPr>
        <w:t>了</w:t>
      </w:r>
      <w:r>
        <w:rPr>
          <w:rFonts w:ascii="仿宋" w:hAnsi="仿宋" w:eastAsia="仿宋"/>
          <w:sz w:val="28"/>
          <w:szCs w:val="28"/>
        </w:rPr>
        <w:t>7篇进行</w:t>
      </w:r>
      <w:r>
        <w:rPr>
          <w:rFonts w:hint="eastAsia" w:ascii="仿宋" w:hAnsi="仿宋" w:eastAsia="仿宋"/>
          <w:sz w:val="28"/>
          <w:szCs w:val="28"/>
        </w:rPr>
        <w:t>报告和研讨</w:t>
      </w:r>
      <w:r>
        <w:rPr>
          <w:rFonts w:ascii="仿宋" w:hAnsi="仿宋" w:eastAsia="仿宋"/>
          <w:sz w:val="28"/>
          <w:szCs w:val="28"/>
        </w:rPr>
        <w:t>。</w:t>
      </w:r>
      <w:r>
        <w:rPr>
          <w:rFonts w:hint="eastAsia" w:ascii="仿宋" w:hAnsi="仿宋" w:eastAsia="仿宋"/>
          <w:sz w:val="28"/>
          <w:szCs w:val="28"/>
        </w:rPr>
        <w:t>美国埃默里大学黄炜、中国社会科学院吴要武、中国人民大学刘瑞明、中山大学梁平汉、中央财经大学梅冬州、浙江工商大学谢杰、中国社会科学院郑世林、清华大学李兆辰等专家学者对宣讲论文进行了深入细致点评，并提出修改建议。会后，经评审专家讨论，北京大学陈方豪博士生的论文《以侨为桥：侨资企业与中国的外向型发展》被《中国经济学》期刊直接录用，其余论文经作者修改后复审，再决定是否录用。</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第1篇报告论文的题目为《以侨为桥：侨资企业与中国的外向型发展》，报告人为北京大学陈方豪，评论人为中山大学梁平汉以及中国社会科学院郑世林。本文首先通过案例总结了侨资企业在区域产业发展中所发挥的作用，接下来通过数据</w:t>
      </w:r>
      <w:r>
        <w:rPr>
          <w:rFonts w:ascii="仿宋" w:hAnsi="仿宋" w:eastAsia="仿宋"/>
          <w:sz w:val="28"/>
          <w:szCs w:val="28"/>
        </w:rPr>
        <w:t>刻画</w:t>
      </w:r>
      <w:r>
        <w:rPr>
          <w:rFonts w:hint="eastAsia" w:ascii="仿宋" w:hAnsi="仿宋" w:eastAsia="仿宋"/>
          <w:sz w:val="28"/>
          <w:szCs w:val="28"/>
        </w:rPr>
        <w:t>了改革开放以来全体侨企进入的时空、行业和组织特征，之后通过定量证据展示了侨企在改革开放中的溢出作用，探讨了中国借助侨资实现发展的普遍意义。</w:t>
      </w:r>
    </w:p>
    <w:p>
      <w:pPr>
        <w:adjustRightInd w:val="0"/>
        <w:snapToGrid w:val="0"/>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2879725" cy="1617345"/>
            <wp:effectExtent l="19050" t="19050" r="15875" b="209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2880000" cy="1617529"/>
                    </a:xfrm>
                    <a:prstGeom prst="rect">
                      <a:avLst/>
                    </a:prstGeom>
                    <a:ln>
                      <a:solidFill>
                        <a:schemeClr val="bg1">
                          <a:lumMod val="85000"/>
                        </a:schemeClr>
                      </a:solidFill>
                    </a:ln>
                  </pic:spPr>
                </pic:pic>
              </a:graphicData>
            </a:graphic>
          </wp:inline>
        </w:drawing>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第</w:t>
      </w:r>
      <w:r>
        <w:rPr>
          <w:rFonts w:ascii="仿宋" w:hAnsi="仿宋" w:eastAsia="仿宋"/>
          <w:sz w:val="28"/>
          <w:szCs w:val="28"/>
        </w:rPr>
        <w:t>2</w:t>
      </w:r>
      <w:r>
        <w:rPr>
          <w:rFonts w:hint="eastAsia" w:ascii="仿宋" w:hAnsi="仿宋" w:eastAsia="仿宋"/>
          <w:sz w:val="28"/>
          <w:szCs w:val="28"/>
        </w:rPr>
        <w:t>篇报告论文的题目为《地方择校竞争、高教发展与县域经济增长——来自全国新建本科校区（院校）的证据》，报告人为山东大学焦银亿，评论人为中国社会科学院吴要武以及中山大学梁平汉。本文以</w:t>
      </w:r>
      <w:r>
        <w:rPr>
          <w:rFonts w:ascii="仿宋" w:hAnsi="仿宋" w:eastAsia="仿宋"/>
          <w:sz w:val="28"/>
          <w:szCs w:val="28"/>
        </w:rPr>
        <w:t>1999-2019年全国县级层面新建本科校区（院校）为事件冲击，利用多期DID模型、工具变</w:t>
      </w:r>
      <w:r>
        <w:rPr>
          <w:rFonts w:hint="eastAsia" w:ascii="仿宋" w:hAnsi="仿宋" w:eastAsia="仿宋"/>
          <w:sz w:val="28"/>
          <w:szCs w:val="28"/>
        </w:rPr>
        <w:t>量策略等因果推断方法进行经验分析，发现与未启用校区的县相比，启用新校区能显著提高县域人均</w:t>
      </w:r>
      <w:r>
        <w:rPr>
          <w:rFonts w:ascii="仿宋" w:hAnsi="仿宋" w:eastAsia="仿宋"/>
          <w:sz w:val="28"/>
          <w:szCs w:val="28"/>
        </w:rPr>
        <w:t>GDP水平，并促进产业结构调整。</w:t>
      </w:r>
    </w:p>
    <w:p>
      <w:pPr>
        <w:adjustRightInd w:val="0"/>
        <w:snapToGrid w:val="0"/>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2879725" cy="2157730"/>
            <wp:effectExtent l="19050" t="19050" r="1587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880000" cy="2157746"/>
                    </a:xfrm>
                    <a:prstGeom prst="rect">
                      <a:avLst/>
                    </a:prstGeom>
                    <a:ln>
                      <a:solidFill>
                        <a:schemeClr val="bg1">
                          <a:lumMod val="85000"/>
                        </a:schemeClr>
                      </a:solidFill>
                    </a:ln>
                  </pic:spPr>
                </pic:pic>
              </a:graphicData>
            </a:graphic>
          </wp:inline>
        </w:drawing>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第</w:t>
      </w:r>
      <w:r>
        <w:rPr>
          <w:rFonts w:ascii="仿宋" w:hAnsi="仿宋" w:eastAsia="仿宋"/>
          <w:sz w:val="28"/>
          <w:szCs w:val="28"/>
        </w:rPr>
        <w:t>3</w:t>
      </w:r>
      <w:r>
        <w:rPr>
          <w:rFonts w:hint="eastAsia" w:ascii="仿宋" w:hAnsi="仿宋" w:eastAsia="仿宋"/>
          <w:sz w:val="28"/>
          <w:szCs w:val="28"/>
        </w:rPr>
        <w:t>篇报告论文的题目为《宏观提振与后发优势：企业数字化转型的就业效应与影响机制》，报告人为北京大学刘欣，评论人为美国埃默里大学黄炜以及浙江工商大学谢杰。本文使用</w:t>
      </w:r>
      <w:r>
        <w:rPr>
          <w:rFonts w:ascii="仿宋" w:hAnsi="仿宋" w:eastAsia="仿宋"/>
          <w:sz w:val="28"/>
          <w:szCs w:val="28"/>
        </w:rPr>
        <w:t>2003-2019年中国上市公</w:t>
      </w:r>
      <w:r>
        <w:rPr>
          <w:rFonts w:hint="eastAsia" w:ascii="仿宋" w:hAnsi="仿宋" w:eastAsia="仿宋"/>
          <w:sz w:val="28"/>
          <w:szCs w:val="28"/>
        </w:rPr>
        <w:t>司数据，通过文本分析对企业数字化转型进行定量测度，以探讨企业数字化转型的就业效应及影响机制。研究发现，企业数字化转型显著扩大了员工规模，企业数字化转型存在宏观提振效应，表现出后发优势，并通过提高生产率、促进创新和规模增长等作用于劳动力市场。</w:t>
      </w:r>
    </w:p>
    <w:p>
      <w:pPr>
        <w:adjustRightInd w:val="0"/>
        <w:snapToGrid w:val="0"/>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2879725" cy="1993265"/>
            <wp:effectExtent l="19050" t="19050" r="15875" b="260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880000" cy="1993739"/>
                    </a:xfrm>
                    <a:prstGeom prst="rect">
                      <a:avLst/>
                    </a:prstGeom>
                    <a:ln>
                      <a:solidFill>
                        <a:schemeClr val="bg1">
                          <a:lumMod val="85000"/>
                        </a:schemeClr>
                      </a:solidFill>
                    </a:ln>
                  </pic:spPr>
                </pic:pic>
              </a:graphicData>
            </a:graphic>
          </wp:inline>
        </w:drawing>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第</w:t>
      </w:r>
      <w:r>
        <w:rPr>
          <w:rFonts w:ascii="仿宋" w:hAnsi="仿宋" w:eastAsia="仿宋"/>
          <w:sz w:val="28"/>
          <w:szCs w:val="28"/>
        </w:rPr>
        <w:t>4</w:t>
      </w:r>
      <w:r>
        <w:rPr>
          <w:rFonts w:hint="eastAsia" w:ascii="仿宋" w:hAnsi="仿宋" w:eastAsia="仿宋"/>
          <w:sz w:val="28"/>
          <w:szCs w:val="28"/>
        </w:rPr>
        <w:t>篇报告论文的题目为《陕甘宁边区与教育的性别平等研究》，报告人为北京大学何二龙，评论人为中国社会科学院吴要武以及美国埃默里大学黄炜。本文分析了陕甘宁边区建立对教育性别平等的影响，发现陕甘宁边区建立短期缩小了</w:t>
      </w:r>
      <w:r>
        <w:rPr>
          <w:rFonts w:ascii="仿宋" w:hAnsi="仿宋" w:eastAsia="仿宋"/>
          <w:sz w:val="28"/>
          <w:szCs w:val="28"/>
        </w:rPr>
        <w:t>25%的教育性别不平等，长期缩小了21.2%的教育性别不平等，在农村地区作用更大；而义务教育</w:t>
      </w:r>
      <w:r>
        <w:rPr>
          <w:rFonts w:hint="eastAsia" w:ascii="仿宋" w:hAnsi="仿宋" w:eastAsia="仿宋"/>
          <w:sz w:val="28"/>
          <w:szCs w:val="28"/>
        </w:rPr>
        <w:t>之后作用消失。陕甘宁边区建立通过边区教育缩小了教育的性别不平等，教育制度的延续对教育性别不平等产生了长期影响。</w:t>
      </w:r>
    </w:p>
    <w:p>
      <w:pPr>
        <w:adjustRightInd w:val="0"/>
        <w:snapToGrid w:val="0"/>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2879725" cy="1614170"/>
            <wp:effectExtent l="19050" t="19050" r="15875" b="241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2880000" cy="1614409"/>
                    </a:xfrm>
                    <a:prstGeom prst="rect">
                      <a:avLst/>
                    </a:prstGeom>
                    <a:ln>
                      <a:solidFill>
                        <a:schemeClr val="bg1">
                          <a:lumMod val="85000"/>
                        </a:schemeClr>
                      </a:solidFill>
                    </a:ln>
                  </pic:spPr>
                </pic:pic>
              </a:graphicData>
            </a:graphic>
          </wp:inline>
        </w:drawing>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第</w:t>
      </w:r>
      <w:r>
        <w:rPr>
          <w:rFonts w:ascii="仿宋" w:hAnsi="仿宋" w:eastAsia="仿宋"/>
          <w:sz w:val="28"/>
          <w:szCs w:val="28"/>
        </w:rPr>
        <w:t>5</w:t>
      </w:r>
      <w:r>
        <w:rPr>
          <w:rFonts w:hint="eastAsia" w:ascii="仿宋" w:hAnsi="仿宋" w:eastAsia="仿宋"/>
          <w:sz w:val="28"/>
          <w:szCs w:val="28"/>
        </w:rPr>
        <w:t>篇报告论文的题目为《撤县设区改革与区域空气污染——从分权和地方竞争的角度分析》，报告人为暨南大学张文赞，评论人为浙江工商大学谢杰以及清华大学李兆辰。本文基于</w:t>
      </w:r>
      <w:r>
        <w:rPr>
          <w:rFonts w:ascii="仿宋" w:hAnsi="仿宋" w:eastAsia="仿宋"/>
          <w:sz w:val="28"/>
          <w:szCs w:val="28"/>
        </w:rPr>
        <w:t>2002-2015年发生的撤县设区改革，利用双重差分法考察了撤县设区</w:t>
      </w:r>
      <w:r>
        <w:rPr>
          <w:rFonts w:hint="eastAsia" w:ascii="仿宋" w:hAnsi="仿宋" w:eastAsia="仿宋"/>
          <w:sz w:val="28"/>
          <w:szCs w:val="28"/>
        </w:rPr>
        <w:t>行政区划改革对县域的空气质量的影响。研究结果表明，撤县设区改革在一定程度上降低了县域空气中的污染物水平，同时这一污染抑制效应会受到市县之间强弱关系的影响，影响机制包括地方政府竞争角度、财政角度以及行政角度。</w:t>
      </w:r>
    </w:p>
    <w:p>
      <w:pPr>
        <w:adjustRightInd w:val="0"/>
        <w:snapToGrid w:val="0"/>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2879725" cy="1615440"/>
            <wp:effectExtent l="19050" t="19050" r="15875" b="228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2880000" cy="1615449"/>
                    </a:xfrm>
                    <a:prstGeom prst="rect">
                      <a:avLst/>
                    </a:prstGeom>
                    <a:ln>
                      <a:solidFill>
                        <a:schemeClr val="bg1">
                          <a:lumMod val="85000"/>
                        </a:schemeClr>
                      </a:solidFill>
                    </a:ln>
                  </pic:spPr>
                </pic:pic>
              </a:graphicData>
            </a:graphic>
          </wp:inline>
        </w:drawing>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第</w:t>
      </w:r>
      <w:r>
        <w:rPr>
          <w:rFonts w:ascii="仿宋" w:hAnsi="仿宋" w:eastAsia="仿宋"/>
          <w:sz w:val="28"/>
          <w:szCs w:val="28"/>
        </w:rPr>
        <w:t>6</w:t>
      </w:r>
      <w:r>
        <w:rPr>
          <w:rFonts w:hint="eastAsia" w:ascii="仿宋" w:hAnsi="仿宋" w:eastAsia="仿宋"/>
          <w:sz w:val="28"/>
          <w:szCs w:val="28"/>
        </w:rPr>
        <w:t>篇报告论文的题目为《润滑剂还是砂砾？公共消费对地方政府效率的影响研究——基于中国地级市“三公消费”的经验实证》，报告人为中南财经政法大学林佳颖，评论人为中国人民大学刘瑞明以及中央财经大学梅冬州。本文分析了</w:t>
      </w:r>
      <w:r>
        <w:rPr>
          <w:rFonts w:ascii="仿宋" w:hAnsi="仿宋" w:eastAsia="仿宋"/>
          <w:sz w:val="28"/>
          <w:szCs w:val="28"/>
        </w:rPr>
        <w:t>“三公消费”对地方政府效率的影响</w:t>
      </w:r>
      <w:r>
        <w:rPr>
          <w:rFonts w:hint="eastAsia" w:ascii="仿宋" w:hAnsi="仿宋" w:eastAsia="仿宋"/>
          <w:sz w:val="28"/>
          <w:szCs w:val="28"/>
        </w:rPr>
        <w:t>，</w:t>
      </w:r>
      <w:r>
        <w:rPr>
          <w:rFonts w:ascii="仿宋" w:hAnsi="仿宋" w:eastAsia="仿宋"/>
          <w:sz w:val="28"/>
          <w:szCs w:val="28"/>
        </w:rPr>
        <w:t>发现地方政府效率</w:t>
      </w:r>
      <w:r>
        <w:rPr>
          <w:rFonts w:hint="eastAsia" w:ascii="仿宋" w:hAnsi="仿宋" w:eastAsia="仿宋"/>
          <w:sz w:val="28"/>
          <w:szCs w:val="28"/>
        </w:rPr>
        <w:t>近年来</w:t>
      </w:r>
      <w:r>
        <w:rPr>
          <w:rFonts w:ascii="仿宋" w:hAnsi="仿宋" w:eastAsia="仿宋"/>
          <w:sz w:val="28"/>
          <w:szCs w:val="28"/>
        </w:rPr>
        <w:t>呈波动上升走势，东部地区增幅</w:t>
      </w:r>
      <w:r>
        <w:rPr>
          <w:rFonts w:hint="eastAsia" w:ascii="仿宋" w:hAnsi="仿宋" w:eastAsia="仿宋"/>
          <w:sz w:val="28"/>
          <w:szCs w:val="28"/>
        </w:rPr>
        <w:t>最高；</w:t>
      </w:r>
      <w:r>
        <w:rPr>
          <w:rFonts w:ascii="仿宋" w:hAnsi="仿宋" w:eastAsia="仿宋"/>
          <w:sz w:val="28"/>
          <w:szCs w:val="28"/>
        </w:rPr>
        <w:t>适度规模的政府消费可以提升政府效率，而超出界限约束将引致效率损失；地方政府的“三公消费”水平处在倒“U”型曲线前半段</w:t>
      </w:r>
      <w:r>
        <w:rPr>
          <w:rFonts w:hint="eastAsia" w:ascii="仿宋" w:hAnsi="仿宋" w:eastAsia="仿宋"/>
          <w:sz w:val="28"/>
          <w:szCs w:val="28"/>
        </w:rPr>
        <w:t>；作用路径主要基于规模效率，而技术进步的驱动力稍显不足。</w:t>
      </w:r>
    </w:p>
    <w:p>
      <w:pPr>
        <w:adjustRightInd w:val="0"/>
        <w:snapToGrid w:val="0"/>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2879725" cy="1619885"/>
            <wp:effectExtent l="19050" t="19050" r="15875"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2880000" cy="1620303"/>
                    </a:xfrm>
                    <a:prstGeom prst="rect">
                      <a:avLst/>
                    </a:prstGeom>
                    <a:ln>
                      <a:solidFill>
                        <a:schemeClr val="bg1">
                          <a:lumMod val="85000"/>
                        </a:schemeClr>
                      </a:solidFill>
                    </a:ln>
                  </pic:spPr>
                </pic:pic>
              </a:graphicData>
            </a:graphic>
          </wp:inline>
        </w:drawing>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第</w:t>
      </w:r>
      <w:r>
        <w:rPr>
          <w:rFonts w:ascii="仿宋" w:hAnsi="仿宋" w:eastAsia="仿宋"/>
          <w:sz w:val="28"/>
          <w:szCs w:val="28"/>
        </w:rPr>
        <w:t>7</w:t>
      </w:r>
      <w:r>
        <w:rPr>
          <w:rFonts w:hint="eastAsia" w:ascii="仿宋" w:hAnsi="仿宋" w:eastAsia="仿宋"/>
          <w:sz w:val="28"/>
          <w:szCs w:val="28"/>
        </w:rPr>
        <w:t>篇报告论文的题目为《生产网络视角下的价格市场化改革与转型性衰退——基于中国、前苏联及中东欧国家经济改革历史的分析》，报告人为兰州大学马福国，评论人为中央财经大学梅冬州以及中国人民大学刘瑞明。本文借鉴生产网络破坏理论重新审视转型性衰退与中俄经济转型差异的生产网络根源，揭示了价格市场化改革冲击如何与特定的链式生产网络相互作用并导致总产出波动，澄清了价格改革冲击的总产出效应不但与政策的覆盖面和速度有关，而且与每个受价格改革影响的生产部门在生产网络当中的位置有关。</w:t>
      </w:r>
    </w:p>
    <w:p>
      <w:pPr>
        <w:adjustRightInd w:val="0"/>
        <w:snapToGrid w:val="0"/>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2879725" cy="1611630"/>
            <wp:effectExtent l="19050" t="19050" r="15875" b="266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2880000" cy="1611982"/>
                    </a:xfrm>
                    <a:prstGeom prst="rect">
                      <a:avLst/>
                    </a:prstGeom>
                    <a:ln>
                      <a:solidFill>
                        <a:schemeClr val="bg1">
                          <a:lumMod val="85000"/>
                        </a:schemeClr>
                      </a:solidFill>
                    </a:ln>
                  </pic:spPr>
                </pic:pic>
              </a:graphicData>
            </a:graphic>
          </wp:inline>
        </w:drawing>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最后，《中国经济学》常务副主编、编辑部主任郑世林研究员做简短总结，感谢所有参会老师和同学的支持，作者宣讲和专家评论让大家获益匪浅。未来，欢迎各位学界同仁继续关注《中国经济学》，共同为中国经济学蓬勃发展贡献智慧和力量！</w:t>
      </w:r>
    </w:p>
    <w:p>
      <w:pPr>
        <w:adjustRightInd w:val="0"/>
        <w:snapToGrid w:val="0"/>
        <w:spacing w:line="360" w:lineRule="auto"/>
        <w:ind w:firstLine="560" w:firstLineChars="200"/>
        <w:rPr>
          <w:rFonts w:ascii="仿宋" w:hAnsi="仿宋" w:eastAsia="仿宋"/>
          <w:sz w:val="28"/>
          <w:szCs w:val="28"/>
        </w:rPr>
      </w:pPr>
    </w:p>
    <w:p>
      <w:pPr>
        <w:adjustRightInd w:val="0"/>
        <w:snapToGrid w:val="0"/>
        <w:spacing w:line="360" w:lineRule="auto"/>
        <w:ind w:firstLine="560" w:firstLineChars="200"/>
        <w:rPr>
          <w:rFonts w:ascii="仿宋" w:hAnsi="仿宋" w:eastAsia="仿宋"/>
          <w:sz w:val="28"/>
          <w:szCs w:val="28"/>
        </w:rPr>
      </w:pPr>
    </w:p>
    <w:p>
      <w:pPr>
        <w:adjustRightInd w:val="0"/>
        <w:snapToGrid w:val="0"/>
        <w:spacing w:line="360" w:lineRule="auto"/>
        <w:ind w:firstLine="560" w:firstLineChars="200"/>
        <w:jc w:val="right"/>
        <w:rPr>
          <w:rFonts w:ascii="仿宋" w:hAnsi="仿宋" w:eastAsia="仿宋"/>
          <w:sz w:val="28"/>
          <w:szCs w:val="28"/>
        </w:rPr>
      </w:pPr>
      <w:r>
        <w:rPr>
          <w:rFonts w:hint="eastAsia" w:ascii="仿宋" w:hAnsi="仿宋" w:eastAsia="仿宋"/>
          <w:sz w:val="28"/>
          <w:szCs w:val="28"/>
        </w:rPr>
        <w:t>《中国经济学》编辑部</w:t>
      </w:r>
    </w:p>
    <w:p>
      <w:pPr>
        <w:adjustRightInd w:val="0"/>
        <w:snapToGrid w:val="0"/>
        <w:spacing w:line="360" w:lineRule="auto"/>
        <w:ind w:firstLine="560" w:firstLineChars="200"/>
        <w:jc w:val="right"/>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020</w:t>
      </w:r>
      <w:r>
        <w:rPr>
          <w:rFonts w:hint="eastAsia" w:ascii="仿宋" w:hAnsi="仿宋" w:eastAsia="仿宋"/>
          <w:sz w:val="28"/>
          <w:szCs w:val="28"/>
        </w:rPr>
        <w:t>年5月9日</w:t>
      </w:r>
    </w:p>
    <w:p>
      <w:pPr>
        <w:adjustRightInd w:val="0"/>
        <w:snapToGrid w:val="0"/>
        <w:spacing w:line="360" w:lineRule="auto"/>
        <w:ind w:firstLine="560" w:firstLineChars="200"/>
        <w:rPr>
          <w:rFonts w:ascii="仿宋" w:hAnsi="仿宋" w:eastAsia="仿宋"/>
          <w:sz w:val="28"/>
          <w:szCs w:val="28"/>
        </w:rPr>
      </w:pPr>
    </w:p>
    <w:sectPr>
      <w:footerReference r:id="rId3" w:type="default"/>
      <w:footnotePr>
        <w:numRestart w:val="eachPage"/>
      </w:footnote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6029748"/>
      <w:docPartObj>
        <w:docPartGallery w:val="autotext"/>
      </w:docPartObj>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185"/>
    <w:rsid w:val="000333E1"/>
    <w:rsid w:val="00035EC3"/>
    <w:rsid w:val="00055895"/>
    <w:rsid w:val="000A16C0"/>
    <w:rsid w:val="000F26B6"/>
    <w:rsid w:val="00181702"/>
    <w:rsid w:val="00182996"/>
    <w:rsid w:val="001B7677"/>
    <w:rsid w:val="001C0970"/>
    <w:rsid w:val="001C64FD"/>
    <w:rsid w:val="001F1093"/>
    <w:rsid w:val="001F420B"/>
    <w:rsid w:val="001F46A7"/>
    <w:rsid w:val="00207BB5"/>
    <w:rsid w:val="00221249"/>
    <w:rsid w:val="002340A9"/>
    <w:rsid w:val="00243564"/>
    <w:rsid w:val="002779B9"/>
    <w:rsid w:val="002A7C65"/>
    <w:rsid w:val="002B264D"/>
    <w:rsid w:val="002B3518"/>
    <w:rsid w:val="002C254C"/>
    <w:rsid w:val="002D53E3"/>
    <w:rsid w:val="002F0D20"/>
    <w:rsid w:val="0030036C"/>
    <w:rsid w:val="003116FE"/>
    <w:rsid w:val="00347067"/>
    <w:rsid w:val="00350BFC"/>
    <w:rsid w:val="003C1002"/>
    <w:rsid w:val="003D4671"/>
    <w:rsid w:val="00421863"/>
    <w:rsid w:val="0044170A"/>
    <w:rsid w:val="00454906"/>
    <w:rsid w:val="004E0A63"/>
    <w:rsid w:val="005005BD"/>
    <w:rsid w:val="00512F1B"/>
    <w:rsid w:val="00533CD4"/>
    <w:rsid w:val="00541A7D"/>
    <w:rsid w:val="00561C52"/>
    <w:rsid w:val="00574CCF"/>
    <w:rsid w:val="005835D7"/>
    <w:rsid w:val="005E1D0F"/>
    <w:rsid w:val="005E7EB3"/>
    <w:rsid w:val="00657418"/>
    <w:rsid w:val="00670B56"/>
    <w:rsid w:val="006D44CF"/>
    <w:rsid w:val="00705185"/>
    <w:rsid w:val="00741F35"/>
    <w:rsid w:val="00765EEB"/>
    <w:rsid w:val="007940B8"/>
    <w:rsid w:val="007B31C0"/>
    <w:rsid w:val="007E2C66"/>
    <w:rsid w:val="007E568C"/>
    <w:rsid w:val="007F4AC5"/>
    <w:rsid w:val="00803A44"/>
    <w:rsid w:val="00807AED"/>
    <w:rsid w:val="00814778"/>
    <w:rsid w:val="00814AD0"/>
    <w:rsid w:val="00820C31"/>
    <w:rsid w:val="008277F6"/>
    <w:rsid w:val="00896859"/>
    <w:rsid w:val="008C6D45"/>
    <w:rsid w:val="008E1AA8"/>
    <w:rsid w:val="008F189D"/>
    <w:rsid w:val="008F349C"/>
    <w:rsid w:val="009009CD"/>
    <w:rsid w:val="00911099"/>
    <w:rsid w:val="009338E2"/>
    <w:rsid w:val="00956255"/>
    <w:rsid w:val="00977143"/>
    <w:rsid w:val="0098731E"/>
    <w:rsid w:val="009B4FD2"/>
    <w:rsid w:val="009E0CCA"/>
    <w:rsid w:val="00A02DB1"/>
    <w:rsid w:val="00A0415F"/>
    <w:rsid w:val="00A1564E"/>
    <w:rsid w:val="00A21537"/>
    <w:rsid w:val="00AA6429"/>
    <w:rsid w:val="00B5433B"/>
    <w:rsid w:val="00B56CE5"/>
    <w:rsid w:val="00B747DF"/>
    <w:rsid w:val="00BE32DA"/>
    <w:rsid w:val="00C15375"/>
    <w:rsid w:val="00C44CCC"/>
    <w:rsid w:val="00C56713"/>
    <w:rsid w:val="00C7096D"/>
    <w:rsid w:val="00CA3025"/>
    <w:rsid w:val="00D00F0D"/>
    <w:rsid w:val="00D04CB2"/>
    <w:rsid w:val="00D10C39"/>
    <w:rsid w:val="00D16C95"/>
    <w:rsid w:val="00D31E3D"/>
    <w:rsid w:val="00D32C4B"/>
    <w:rsid w:val="00D41602"/>
    <w:rsid w:val="00D93BE7"/>
    <w:rsid w:val="00D93ED2"/>
    <w:rsid w:val="00D97E5F"/>
    <w:rsid w:val="00DA161C"/>
    <w:rsid w:val="00DA2E51"/>
    <w:rsid w:val="00DA45A8"/>
    <w:rsid w:val="00DB3498"/>
    <w:rsid w:val="00DB5C34"/>
    <w:rsid w:val="00E400FB"/>
    <w:rsid w:val="00E4679B"/>
    <w:rsid w:val="00E62B64"/>
    <w:rsid w:val="00E74AF0"/>
    <w:rsid w:val="00E93156"/>
    <w:rsid w:val="00EA234A"/>
    <w:rsid w:val="00EA3499"/>
    <w:rsid w:val="00EA3C1D"/>
    <w:rsid w:val="00EB4161"/>
    <w:rsid w:val="00EC59B8"/>
    <w:rsid w:val="00EE3386"/>
    <w:rsid w:val="00EF022F"/>
    <w:rsid w:val="00F113E4"/>
    <w:rsid w:val="00F46134"/>
    <w:rsid w:val="00F5443C"/>
    <w:rsid w:val="00F74FA3"/>
    <w:rsid w:val="00F83DC5"/>
    <w:rsid w:val="00F86010"/>
    <w:rsid w:val="00FB2826"/>
    <w:rsid w:val="00FB31BE"/>
    <w:rsid w:val="25AD1C31"/>
    <w:rsid w:val="4EA822C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宋体" w:hAnsi="宋体" w:eastAsia="宋体" w:cstheme="minorBidi"/>
      <w:kern w:val="2"/>
      <w:sz w:val="21"/>
      <w:szCs w:val="22"/>
      <w:lang w:val="en-US" w:eastAsia="zh-CN" w:bidi="ar-SA"/>
    </w:rPr>
  </w:style>
  <w:style w:type="paragraph" w:styleId="2">
    <w:name w:val="heading 1"/>
    <w:basedOn w:val="1"/>
    <w:next w:val="1"/>
    <w:link w:val="10"/>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4"/>
    <w:semiHidden/>
    <w:unhideWhenUsed/>
    <w:qFormat/>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customStyle="1" w:styleId="8">
    <w:name w:val="宋体4号标题"/>
    <w:basedOn w:val="2"/>
    <w:next w:val="1"/>
    <w:link w:val="9"/>
    <w:qFormat/>
    <w:uiPriority w:val="0"/>
    <w:pPr>
      <w:spacing w:before="0" w:after="0" w:line="240" w:lineRule="auto"/>
    </w:pPr>
    <w:rPr>
      <w:rFonts w:ascii="Calibri" w:hAnsi="Calibri" w:cs="Calibri"/>
      <w:sz w:val="28"/>
      <w:szCs w:val="28"/>
    </w:rPr>
  </w:style>
  <w:style w:type="character" w:customStyle="1" w:styleId="9">
    <w:name w:val="宋体4号标题 字符"/>
    <w:basedOn w:val="7"/>
    <w:link w:val="8"/>
    <w:uiPriority w:val="0"/>
    <w:rPr>
      <w:rFonts w:ascii="Calibri" w:hAnsi="Calibri" w:cs="Calibri"/>
      <w:b/>
      <w:bCs/>
      <w:kern w:val="44"/>
      <w:sz w:val="28"/>
      <w:szCs w:val="28"/>
    </w:rPr>
  </w:style>
  <w:style w:type="character" w:customStyle="1" w:styleId="10">
    <w:name w:val="标题 1 字符"/>
    <w:basedOn w:val="7"/>
    <w:link w:val="2"/>
    <w:uiPriority w:val="9"/>
    <w:rPr>
      <w:b/>
      <w:bCs/>
      <w:kern w:val="44"/>
      <w:sz w:val="44"/>
      <w:szCs w:val="44"/>
    </w:rPr>
  </w:style>
  <w:style w:type="character" w:customStyle="1" w:styleId="11">
    <w:name w:val="页眉 字符"/>
    <w:basedOn w:val="7"/>
    <w:link w:val="5"/>
    <w:uiPriority w:val="99"/>
    <w:rPr>
      <w:sz w:val="18"/>
      <w:szCs w:val="18"/>
    </w:rPr>
  </w:style>
  <w:style w:type="character" w:customStyle="1" w:styleId="12">
    <w:name w:val="页脚 字符"/>
    <w:basedOn w:val="7"/>
    <w:link w:val="4"/>
    <w:uiPriority w:val="99"/>
    <w:rPr>
      <w:sz w:val="18"/>
      <w:szCs w:val="18"/>
    </w:rPr>
  </w:style>
  <w:style w:type="paragraph" w:customStyle="1" w:styleId="13">
    <w:name w:val="Revision"/>
    <w:hidden/>
    <w:semiHidden/>
    <w:uiPriority w:val="99"/>
    <w:pPr>
      <w:jc w:val="left"/>
    </w:pPr>
    <w:rPr>
      <w:rFonts w:ascii="宋体" w:hAnsi="宋体" w:eastAsia="宋体" w:cstheme="minorBidi"/>
      <w:kern w:val="2"/>
      <w:sz w:val="21"/>
      <w:szCs w:val="22"/>
      <w:lang w:val="en-US" w:eastAsia="zh-CN" w:bidi="ar-SA"/>
    </w:rPr>
  </w:style>
  <w:style w:type="character" w:customStyle="1" w:styleId="14">
    <w:name w:val="批注框文本 字符"/>
    <w:basedOn w:val="7"/>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2284</Words>
  <Characters>2327</Characters>
  <Lines>16</Lines>
  <Paragraphs>4</Paragraphs>
  <TotalTime>0</TotalTime>
  <ScaleCrop>false</ScaleCrop>
  <LinksUpToDate>false</LinksUpToDate>
  <CharactersWithSpaces>2328</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2022-05-09T08:35:00Z</dcterms:created>
  <dc:creator>LZC Tsinghua</dc:creator>
  <cp:lastModifiedBy>罗耘超</cp:lastModifiedBy>
  <dcterms:modified xsi:type="dcterms:W3CDTF">2022-07-14T02:16:11Z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02F8C438A9834231B8181AFBA1D1C03A</vt:lpwstr>
  </property>
</Properties>
</file>